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CAB359" w14:textId="22ED28D4" w:rsidR="00B67DE8" w:rsidRPr="008C6F31" w:rsidRDefault="008C6F31" w:rsidP="008C6F31">
      <w:pPr>
        <w:jc w:val="center"/>
        <w:rPr>
          <w:b/>
          <w:bCs/>
        </w:rPr>
      </w:pPr>
      <w:bookmarkStart w:id="0" w:name="_GoBack"/>
      <w:bookmarkEnd w:id="0"/>
      <w:r w:rsidRPr="008C6F31">
        <w:rPr>
          <w:b/>
          <w:bCs/>
        </w:rPr>
        <w:t>Comments on the CLH report for trimethylolpropane triacrylate</w:t>
      </w:r>
      <w:r w:rsidR="00F53726">
        <w:rPr>
          <w:b/>
          <w:bCs/>
        </w:rPr>
        <w:t xml:space="preserve"> (TMPTA)</w:t>
      </w:r>
    </w:p>
    <w:p w14:paraId="6518AE46" w14:textId="49F9C470" w:rsidR="008C6F31" w:rsidRPr="008C6F31" w:rsidRDefault="008C6F31" w:rsidP="008C6F31">
      <w:pPr>
        <w:jc w:val="center"/>
        <w:rPr>
          <w:b/>
          <w:bCs/>
        </w:rPr>
      </w:pPr>
      <w:r w:rsidRPr="008C6F31">
        <w:rPr>
          <w:b/>
          <w:bCs/>
        </w:rPr>
        <w:t>Prepared by Prof. D Kirkland</w:t>
      </w:r>
    </w:p>
    <w:p w14:paraId="0DF1E73D" w14:textId="46BF9445" w:rsidR="008C6F31" w:rsidRDefault="008C6F31" w:rsidP="008C6F31">
      <w:pPr>
        <w:jc w:val="center"/>
        <w:rPr>
          <w:b/>
          <w:bCs/>
        </w:rPr>
      </w:pPr>
      <w:r w:rsidRPr="008C6F31">
        <w:rPr>
          <w:b/>
          <w:bCs/>
        </w:rPr>
        <w:t>Kirkland consulting, Tadcaster, UK</w:t>
      </w:r>
    </w:p>
    <w:p w14:paraId="3EA7FC06" w14:textId="53DBE9DD" w:rsidR="008C6F31" w:rsidRDefault="008C6F31" w:rsidP="008C6F31">
      <w:pPr>
        <w:jc w:val="both"/>
      </w:pPr>
      <w:r>
        <w:t xml:space="preserve">I wish to comment on the </w:t>
      </w:r>
      <w:r w:rsidRPr="008C6F31">
        <w:rPr>
          <w:b/>
          <w:bCs/>
        </w:rPr>
        <w:t>Genetic Toxicity</w:t>
      </w:r>
      <w:r>
        <w:t xml:space="preserve"> assessment of trimethylolpropane triacrylate (TMPTA).</w:t>
      </w:r>
    </w:p>
    <w:p w14:paraId="5C3841A3" w14:textId="7FF96616" w:rsidR="008C6F31" w:rsidRDefault="008C6F31" w:rsidP="008C6F31">
      <w:pPr>
        <w:jc w:val="both"/>
      </w:pPr>
      <w:r>
        <w:t xml:space="preserve">ANSES have concluded for TMPTA that “… the available data do not allow classifying the substance as Muta. Cat. 2” and “The substance cannot be classified as a germ cell mutagen according to CLP Regulation”. In reaching these conclusions, ANSES </w:t>
      </w:r>
      <w:r w:rsidR="00A93DDF">
        <w:t>expressed certain concerns</w:t>
      </w:r>
      <w:r>
        <w:t>:</w:t>
      </w:r>
    </w:p>
    <w:p w14:paraId="3E7FDD26" w14:textId="6BA98C56" w:rsidR="00111BA1" w:rsidRDefault="008C6F31" w:rsidP="0024066A">
      <w:pPr>
        <w:pStyle w:val="ListParagraph"/>
        <w:numPr>
          <w:ilvl w:val="0"/>
          <w:numId w:val="2"/>
        </w:numPr>
        <w:jc w:val="both"/>
      </w:pPr>
      <w:r>
        <w:t xml:space="preserve">The negative result in an </w:t>
      </w:r>
      <w:r w:rsidRPr="008C6F31">
        <w:rPr>
          <w:i/>
          <w:iCs/>
        </w:rPr>
        <w:t>in vivo</w:t>
      </w:r>
      <w:r>
        <w:t xml:space="preserve"> micronucleus </w:t>
      </w:r>
      <w:r w:rsidR="009D61A3">
        <w:t xml:space="preserve">(MN) </w:t>
      </w:r>
      <w:r>
        <w:t xml:space="preserve">test (Anonymous, 2006) to be “questionable since there is </w:t>
      </w:r>
      <w:r w:rsidR="00111BA1">
        <w:t>no adequate evidence of target tissue (bone marrow) exposure</w:t>
      </w:r>
      <w:r>
        <w:t>”</w:t>
      </w:r>
    </w:p>
    <w:p w14:paraId="6279B81A" w14:textId="77DB7EA4" w:rsidR="00014B73" w:rsidRDefault="00014B73" w:rsidP="0024066A">
      <w:pPr>
        <w:pStyle w:val="ListParagraph"/>
        <w:numPr>
          <w:ilvl w:val="0"/>
          <w:numId w:val="2"/>
        </w:numPr>
        <w:jc w:val="both"/>
      </w:pPr>
      <w:r>
        <w:t xml:space="preserve">A MN study performed as part of the US National Toxicology Program (NTP, 2005) </w:t>
      </w:r>
      <w:r w:rsidR="00495F96">
        <w:t xml:space="preserve">should </w:t>
      </w:r>
      <w:r w:rsidR="00A93DDF">
        <w:t>be “</w:t>
      </w:r>
      <w:r>
        <w:t>disregarded because it does not follow any guideline and no positive control was included to validate the protocol”.</w:t>
      </w:r>
      <w:r w:rsidR="00781D08">
        <w:t xml:space="preserve"> A reliability score of 3 (not reliable) was allocated.</w:t>
      </w:r>
    </w:p>
    <w:p w14:paraId="3A380B97" w14:textId="55F2E2FF" w:rsidR="00495F96" w:rsidRDefault="00495F96" w:rsidP="0024066A">
      <w:pPr>
        <w:pStyle w:val="ListParagraph"/>
        <w:numPr>
          <w:ilvl w:val="0"/>
          <w:numId w:val="2"/>
        </w:numPr>
        <w:jc w:val="both"/>
      </w:pPr>
      <w:r>
        <w:t xml:space="preserve">An </w:t>
      </w:r>
      <w:r>
        <w:rPr>
          <w:i/>
          <w:iCs/>
        </w:rPr>
        <w:t>in vivo</w:t>
      </w:r>
      <w:r>
        <w:t xml:space="preserve"> comet assay in mice (Anonymous 2018) was “inconclusive” because </w:t>
      </w:r>
      <w:bookmarkStart w:id="1" w:name="_Hlk18416040"/>
      <w:r>
        <w:t>(i) an unusual vehicle (PEG 400) was used, (ii) the animal tissues (liver and bone marrow) were collected only 30 minutes after the second or 2 doses which is considered too early since the OECD guideline (OECD, 2016b) recommended 2-6 hrs, (iii) insufficient relevant historical control data were provided</w:t>
      </w:r>
      <w:r w:rsidR="00BF7927">
        <w:t xml:space="preserve"> for bone marrow to allow comparison of TMPTA responses with historical control ranges</w:t>
      </w:r>
      <w:r>
        <w:t xml:space="preserve">, (iv) achieved concentration and homogeneity results were inadequate in the first experiment, and (v) </w:t>
      </w:r>
      <w:r w:rsidR="006C7CD9">
        <w:t>statistical significance at the mid-dose level (10 mg/kg) in a repeat study is questionable</w:t>
      </w:r>
      <w:bookmarkEnd w:id="1"/>
      <w:r w:rsidR="006C7CD9">
        <w:t>.</w:t>
      </w:r>
    </w:p>
    <w:p w14:paraId="6058387B" w14:textId="2288A912" w:rsidR="003A1200" w:rsidRDefault="00A93DDF" w:rsidP="003A1200">
      <w:pPr>
        <w:jc w:val="both"/>
      </w:pPr>
      <w:r>
        <w:t xml:space="preserve">I believe these concerns are not justified, and my reasons are discussed in detail below. I therefore believe the data justify a stronger conclusion, that TMPTA is not genotoxic in somatic tissues </w:t>
      </w:r>
      <w:r>
        <w:rPr>
          <w:i/>
          <w:iCs/>
        </w:rPr>
        <w:t>in vivo</w:t>
      </w:r>
      <w:r>
        <w:t xml:space="preserve"> and therefore is not a suspected germ cell mutagen. </w:t>
      </w:r>
      <w:r w:rsidR="006C7CD9">
        <w:t xml:space="preserve"> </w:t>
      </w:r>
    </w:p>
    <w:p w14:paraId="6222BBE5" w14:textId="77777777" w:rsidR="006C7CD9" w:rsidRDefault="006C7CD9" w:rsidP="003A1200">
      <w:pPr>
        <w:jc w:val="both"/>
      </w:pPr>
    </w:p>
    <w:p w14:paraId="01DB2D14" w14:textId="533FB6D8" w:rsidR="003A1200" w:rsidRPr="0024066A" w:rsidRDefault="0024066A" w:rsidP="0024066A">
      <w:pPr>
        <w:pStyle w:val="ListParagraph"/>
        <w:numPr>
          <w:ilvl w:val="0"/>
          <w:numId w:val="4"/>
        </w:numPr>
        <w:jc w:val="both"/>
        <w:rPr>
          <w:b/>
          <w:bCs/>
        </w:rPr>
      </w:pPr>
      <w:r w:rsidRPr="0024066A">
        <w:rPr>
          <w:b/>
          <w:bCs/>
        </w:rPr>
        <w:t xml:space="preserve">The “Anonymous 2006” </w:t>
      </w:r>
      <w:r w:rsidR="006C7CD9">
        <w:rPr>
          <w:b/>
          <w:bCs/>
        </w:rPr>
        <w:t xml:space="preserve">mouse bone marrow MN </w:t>
      </w:r>
      <w:r w:rsidRPr="0024066A">
        <w:rPr>
          <w:b/>
          <w:bCs/>
        </w:rPr>
        <w:t>study</w:t>
      </w:r>
    </w:p>
    <w:p w14:paraId="36A7A2AB" w14:textId="7359F7AF" w:rsidR="008C6F31" w:rsidRDefault="00F23E75" w:rsidP="0024066A">
      <w:pPr>
        <w:jc w:val="both"/>
      </w:pPr>
      <w:r>
        <w:t xml:space="preserve">The </w:t>
      </w:r>
      <w:bookmarkStart w:id="2" w:name="_Hlk18405367"/>
      <w:r>
        <w:t>“</w:t>
      </w:r>
      <w:r w:rsidR="009D61A3">
        <w:t>Anonymous 2006</w:t>
      </w:r>
      <w:r>
        <w:t>” study</w:t>
      </w:r>
      <w:r w:rsidR="009D61A3">
        <w:t xml:space="preserve"> </w:t>
      </w:r>
      <w:bookmarkEnd w:id="2"/>
      <w:r w:rsidR="009D61A3">
        <w:t xml:space="preserve">was </w:t>
      </w:r>
      <w:r>
        <w:t xml:space="preserve">a </w:t>
      </w:r>
      <w:r w:rsidR="009D61A3">
        <w:t xml:space="preserve">mouse bone marrow MN study by Haddouk </w:t>
      </w:r>
      <w:r w:rsidR="001E3631">
        <w:t xml:space="preserve">(2006) </w:t>
      </w:r>
      <w:r w:rsidR="009D61A3">
        <w:t xml:space="preserve">and is reported in detail in Kirkland &amp; Fowler (2018). The study was GLP compliant. Three dose levels were tested, with the top doses, established in </w:t>
      </w:r>
      <w:r w:rsidR="0072746D">
        <w:t xml:space="preserve">a </w:t>
      </w:r>
      <w:r w:rsidR="009D61A3">
        <w:t xml:space="preserve">range-finding experiment, being 1750 mg/kg in males and 2000 mg/kg in females. Mice were dosed orally on a single occasion. Bone marrow </w:t>
      </w:r>
      <w:r>
        <w:t xml:space="preserve">samples </w:t>
      </w:r>
      <w:r w:rsidR="009D61A3">
        <w:t xml:space="preserve">from all dose groups (including vehicle and positive controls) were </w:t>
      </w:r>
      <w:r>
        <w:t>taken a</w:t>
      </w:r>
      <w:r w:rsidR="009D61A3">
        <w:t>t 24 hrs, and from the top dose group and vehicle controls at 48 hrs. MN were scored in 2000 polychromatic erythrocytes (PCE) per animal, which is less than currently recommended in the revised OECD Test guideline TG474 (OECD, 2016</w:t>
      </w:r>
      <w:r w:rsidR="00FA6AA5">
        <w:t>a</w:t>
      </w:r>
      <w:r w:rsidR="009D61A3">
        <w:t xml:space="preserve">) but complied with the </w:t>
      </w:r>
      <w:r w:rsidR="001E3631">
        <w:t xml:space="preserve">requirements of the previous TG (OECD, 1997) which was in place at the time of the study (2006). </w:t>
      </w:r>
      <w:r w:rsidR="009D61A3" w:rsidRPr="009D61A3">
        <w:t>MN frequencies in vehicle control animals were normal and within the laboratory’s historical control range, whilst the positive control, CPA, induced signiﬁcant increases in MN frequency. MN frequencies in TMPTA-treated mice were similar to those in vehicle controls in both sexes, all dose groups and both sampling times.</w:t>
      </w:r>
      <w:r w:rsidR="009D61A3">
        <w:t xml:space="preserve"> </w:t>
      </w:r>
    </w:p>
    <w:p w14:paraId="2B56EDDA" w14:textId="10516E74" w:rsidR="001E3631" w:rsidRDefault="001E3631">
      <w:pPr>
        <w:jc w:val="both"/>
      </w:pPr>
      <w:r>
        <w:t xml:space="preserve">It is correct that </w:t>
      </w:r>
      <w:r w:rsidR="004B6ADA" w:rsidRPr="004B6ADA">
        <w:t>there was no clear or dose</w:t>
      </w:r>
      <w:r w:rsidR="004B6ADA">
        <w:t>-</w:t>
      </w:r>
      <w:r w:rsidR="004B6ADA" w:rsidRPr="004B6ADA">
        <w:t>related reduction in PCE:NCE ratio, and therefore no clear evidence of bone marrow toxicity</w:t>
      </w:r>
      <w:r w:rsidR="004B6ADA">
        <w:t xml:space="preserve">, and that </w:t>
      </w:r>
      <w:r w:rsidR="0024066A" w:rsidRPr="0024066A">
        <w:t>no blood samples were taken to be analysed for presence of TMPTA</w:t>
      </w:r>
      <w:r w:rsidR="0024066A">
        <w:t>. There is therefore no direct evidence that the target tissue (b</w:t>
      </w:r>
      <w:r w:rsidR="0072746D">
        <w:t>o</w:t>
      </w:r>
      <w:r w:rsidR="0024066A">
        <w:t>ne marrow) was exposed. However, in Section 9 of the CLH report it is stated:</w:t>
      </w:r>
    </w:p>
    <w:p w14:paraId="5D5A6FD3" w14:textId="110D7D8D" w:rsidR="0024066A" w:rsidRDefault="0024066A" w:rsidP="003A1200">
      <w:pPr>
        <w:jc w:val="both"/>
        <w:rPr>
          <w:i/>
          <w:iCs/>
        </w:rPr>
      </w:pPr>
      <w:r w:rsidRPr="0024066A">
        <w:rPr>
          <w:i/>
          <w:iCs/>
        </w:rPr>
        <w:lastRenderedPageBreak/>
        <w:t xml:space="preserve">“Following the </w:t>
      </w:r>
      <w:bookmarkStart w:id="3" w:name="_Hlk18414911"/>
      <w:r w:rsidRPr="0024066A">
        <w:rPr>
          <w:i/>
          <w:iCs/>
        </w:rPr>
        <w:t>REACH guidance document 7c</w:t>
      </w:r>
      <w:bookmarkEnd w:id="3"/>
      <w:r w:rsidRPr="0024066A">
        <w:rPr>
          <w:i/>
          <w:iCs/>
        </w:rPr>
        <w:t>, the physicochemical properties of TMPTA (molecular weight of ~296 g/mol and water solubility of 500 mg/L) are favourable to oral absorption. According to Danish QSAR database, an absorption from gastro intestinal tract for a dose of 1 mg is estimated at 95% and for a dose of 1000 mg at 50%. Additionally, acute oral toxicity studies (Anonymous 1972, Anonymous 1980) showed deaths indicating some evidence of bioavailability. Finally, considering the irritating properties of TMPTA, oral absorption may be enhanced by irritation of the gastro-intestinal tract.”</w:t>
      </w:r>
    </w:p>
    <w:p w14:paraId="4D963B4D" w14:textId="03EC1275" w:rsidR="0024066A" w:rsidRDefault="0024066A" w:rsidP="003A1200">
      <w:pPr>
        <w:jc w:val="both"/>
        <w:rPr>
          <w:b/>
          <w:bCs/>
        </w:rPr>
      </w:pPr>
      <w:r w:rsidRPr="0024066A">
        <w:rPr>
          <w:b/>
          <w:bCs/>
        </w:rPr>
        <w:t>Thus, it is highly likely that the bone marrow was exposed, and that the negative MN results from this mouse study were valid, and make a meaningful contribution to</w:t>
      </w:r>
      <w:r w:rsidR="0072746D">
        <w:rPr>
          <w:b/>
          <w:bCs/>
        </w:rPr>
        <w:t xml:space="preserve"> the</w:t>
      </w:r>
      <w:r w:rsidRPr="0024066A">
        <w:rPr>
          <w:b/>
          <w:bCs/>
        </w:rPr>
        <w:t xml:space="preserve"> evaluation of the genotoxic potential of TMPTA.</w:t>
      </w:r>
    </w:p>
    <w:p w14:paraId="338D0391" w14:textId="77777777" w:rsidR="006C7CD9" w:rsidRPr="0024066A" w:rsidRDefault="006C7CD9" w:rsidP="003A1200">
      <w:pPr>
        <w:jc w:val="both"/>
        <w:rPr>
          <w:b/>
          <w:bCs/>
        </w:rPr>
      </w:pPr>
    </w:p>
    <w:p w14:paraId="36915407" w14:textId="394A40B9" w:rsidR="0024066A" w:rsidRPr="0024066A" w:rsidRDefault="0024066A" w:rsidP="0024066A">
      <w:pPr>
        <w:pStyle w:val="ListParagraph"/>
        <w:numPr>
          <w:ilvl w:val="0"/>
          <w:numId w:val="4"/>
        </w:numPr>
        <w:jc w:val="both"/>
        <w:rPr>
          <w:b/>
          <w:bCs/>
        </w:rPr>
      </w:pPr>
      <w:r w:rsidRPr="0024066A">
        <w:rPr>
          <w:b/>
          <w:bCs/>
        </w:rPr>
        <w:t xml:space="preserve">The NTP (2005) </w:t>
      </w:r>
      <w:r w:rsidR="006C7CD9">
        <w:rPr>
          <w:b/>
          <w:bCs/>
        </w:rPr>
        <w:t xml:space="preserve">mouse peripheral blood MN </w:t>
      </w:r>
      <w:r w:rsidRPr="0024066A">
        <w:rPr>
          <w:b/>
          <w:bCs/>
        </w:rPr>
        <w:t>stud</w:t>
      </w:r>
      <w:r w:rsidR="006C7CD9">
        <w:rPr>
          <w:b/>
          <w:bCs/>
        </w:rPr>
        <w:t>ies</w:t>
      </w:r>
    </w:p>
    <w:p w14:paraId="47A74D4F" w14:textId="6A6D6969" w:rsidR="0024066A" w:rsidRDefault="00014B73" w:rsidP="003A1200">
      <w:pPr>
        <w:jc w:val="both"/>
      </w:pPr>
      <w:r w:rsidRPr="00014B73">
        <w:t>NTP investigated MN induction in peripheral blood of male and female B6C3F1 mice (10/sex/group), dosed 5</w:t>
      </w:r>
      <w:r>
        <w:t xml:space="preserve"> </w:t>
      </w:r>
      <w:r w:rsidRPr="00014B73">
        <w:t>days/week for 14 weeks, and in male and female Tg.AC hemizygous mice (15/sex/group), dosed 5</w:t>
      </w:r>
      <w:r>
        <w:t xml:space="preserve"> </w:t>
      </w:r>
      <w:r w:rsidRPr="00014B73">
        <w:t xml:space="preserve">days/week for 28 weeks with TMPTA, dissolved in acetone, by the dermal route. The doses in each study were 0.75, 1.5, 3, 6 and 12mg/kg/day. The highest dose caused irritation and inﬂammation at the site of application. MN were scored in mature (normochromatic) erythrocytes (NCE), but it is not clear how many NCE were scored for each animal. Slide scoring was manual and MN frequencies were expressed per 1000 NCE. </w:t>
      </w:r>
      <w:r>
        <w:t>The data are summarised in Kirkland &amp; Fowler (2018). T</w:t>
      </w:r>
      <w:r w:rsidRPr="00014B73">
        <w:t xml:space="preserve">he frequencies of micronucleated erythrocytes in peripheral blood samples from either B6C3F1 or Tg.AC hemizygous mice treated with TMPTA by skin painting for 3 or 6 months respectively, were similar to those in vehicle controls, and there were no signiﬁcant differences. </w:t>
      </w:r>
      <w:r w:rsidR="00BF0B30">
        <w:t xml:space="preserve">The result was therefore negative. </w:t>
      </w:r>
      <w:r w:rsidRPr="00014B73">
        <w:t>Although no toxicokinetic data were presented alongside the MN results, dermal absorption had been demonstrated in an earlier dermal absorption/metabolism/excretion study.</w:t>
      </w:r>
      <w:r>
        <w:t xml:space="preserve"> </w:t>
      </w:r>
      <w:r w:rsidR="00D93C3C">
        <w:t>I</w:t>
      </w:r>
      <w:r w:rsidRPr="00014B73">
        <w:t>n mice, a total of 75% of the dermally applied [14C]-TMPTA was absorbed 72h after a single dose of 1.2mg/kg.</w:t>
      </w:r>
      <w:r w:rsidR="00D93C3C" w:rsidRPr="00D93C3C">
        <w:t xml:space="preserve"> </w:t>
      </w:r>
      <w:r w:rsidR="00D93C3C">
        <w:t>As stated in Section 9 of the CLH report</w:t>
      </w:r>
      <w:r w:rsidR="00D93C3C" w:rsidRPr="00D93C3C">
        <w:t xml:space="preserve"> </w:t>
      </w:r>
      <w:r w:rsidR="00D93C3C" w:rsidRPr="00D93C3C">
        <w:rPr>
          <w:i/>
          <w:iCs/>
        </w:rPr>
        <w:t>“… significant amounts of TMPTA are absorbed if applied dermally in rats and mice</w:t>
      </w:r>
      <w:r w:rsidR="00D93C3C">
        <w:t>”,</w:t>
      </w:r>
      <w:r w:rsidR="00D93C3C" w:rsidRPr="00D93C3C">
        <w:t xml:space="preserve"> </w:t>
      </w:r>
      <w:r w:rsidR="00D93C3C" w:rsidRPr="00014B73">
        <w:t xml:space="preserve">and therefore systemic </w:t>
      </w:r>
      <w:r w:rsidR="00D93C3C">
        <w:t xml:space="preserve">(and bone marrow) </w:t>
      </w:r>
      <w:r w:rsidR="00D93C3C" w:rsidRPr="00014B73">
        <w:t>exposure following dermal application in the MN study can be assured</w:t>
      </w:r>
      <w:r w:rsidR="00D93C3C">
        <w:t>.</w:t>
      </w:r>
    </w:p>
    <w:p w14:paraId="349A6B90" w14:textId="6D11A3C5" w:rsidR="00D93C3C" w:rsidRDefault="00795D58" w:rsidP="003A1200">
      <w:pPr>
        <w:jc w:val="both"/>
      </w:pPr>
      <w:r>
        <w:t xml:space="preserve">NTP uses a standard protocol for its MN studies, and has been doing so for many years. </w:t>
      </w:r>
      <w:r w:rsidR="005966D9">
        <w:t xml:space="preserve">The protocols for bone marrow and blood MN assays performed by NTP are available at </w:t>
      </w:r>
      <w:hyperlink r:id="rId8" w:anchor="study-protocols" w:history="1">
        <w:r w:rsidR="005966D9" w:rsidRPr="009B672D">
          <w:rPr>
            <w:rStyle w:val="Hyperlink"/>
          </w:rPr>
          <w:t>https://ntp.niehs.nih.gov/testing/types/genetic/index.html#study-protocols</w:t>
        </w:r>
      </w:hyperlink>
      <w:r w:rsidR="00FA7B49">
        <w:t>,</w:t>
      </w:r>
      <w:r w:rsidR="005966D9">
        <w:t xml:space="preserve"> and the supporting methodology has been published by Witt et al. (2008) and Dertinger et al. (2011). </w:t>
      </w:r>
      <w:r w:rsidR="00564852">
        <w:t>Ac</w:t>
      </w:r>
      <w:r w:rsidR="002317BF">
        <w:t>c</w:t>
      </w:r>
      <w:r w:rsidR="00564852">
        <w:t>ording to the individual animal data on the NTP website, 2000 NCE</w:t>
      </w:r>
      <w:r w:rsidR="002317BF">
        <w:t>/animal</w:t>
      </w:r>
      <w:r w:rsidR="00564852">
        <w:t xml:space="preserve"> were scored </w:t>
      </w:r>
      <w:r w:rsidR="002317BF">
        <w:t xml:space="preserve">manually </w:t>
      </w:r>
      <w:r w:rsidR="00564852">
        <w:t xml:space="preserve">for MN in </w:t>
      </w:r>
      <w:r w:rsidR="002317BF">
        <w:t>each of the 2 strains of mice. This is less than currently recommended (OECD, 2016a) but complies with the guideline (OECD, 1997) in place at the time of the study (2005). Moreover, the guideline states that “</w:t>
      </w:r>
      <w:r w:rsidR="002317BF" w:rsidRPr="002317BF">
        <w:rPr>
          <w:i/>
          <w:iCs/>
        </w:rPr>
        <w:t>If there is no evidence for a different response between the sexes, the data from both sexes may be combined for statistical analysis</w:t>
      </w:r>
      <w:r w:rsidR="002317BF">
        <w:t xml:space="preserve">”. Since the </w:t>
      </w:r>
      <w:r w:rsidR="00781D08">
        <w:t xml:space="preserve">dose levels and the MN </w:t>
      </w:r>
      <w:r w:rsidR="002317BF">
        <w:t xml:space="preserve">results in both males and females were the same (negative), </w:t>
      </w:r>
      <w:r w:rsidR="00781D08">
        <w:t xml:space="preserve">and more animals/dose level were included than the minimum required, </w:t>
      </w:r>
      <w:r w:rsidR="002317BF">
        <w:t xml:space="preserve">by combining the results, </w:t>
      </w:r>
      <w:r w:rsidR="00781D08">
        <w:t xml:space="preserve">statistical power much greater than recommended in the current (OECD, 2016a) guideline would be achieved. </w:t>
      </w:r>
      <w:r w:rsidR="00564852">
        <w:t xml:space="preserve">The current OECD guideline (OECD, 2016a) clearly states that </w:t>
      </w:r>
      <w:r w:rsidR="00564852" w:rsidRPr="00564852">
        <w:rPr>
          <w:i/>
          <w:iCs/>
        </w:rPr>
        <w:t>“The frequency of mature erythrocytes that contain micronuclei in the peripheral blood also can be used as an endpoint in species without strong splenic selection against micronucleated cells and when animals are treated continuously for a period that exceeds the lifespan of the erythrocyte in the species used (e.g. 4 weeks or more in the mouse)”</w:t>
      </w:r>
      <w:r w:rsidR="00564852" w:rsidRPr="00564852">
        <w:t>.</w:t>
      </w:r>
      <w:r w:rsidR="00564852">
        <w:t xml:space="preserve"> Moreover, the current OECD guideline (OECD, 2016a) also states that inclusion of a concurrent positive control </w:t>
      </w:r>
      <w:r w:rsidR="00564852" w:rsidRPr="00564852">
        <w:rPr>
          <w:i/>
          <w:iCs/>
        </w:rPr>
        <w:t xml:space="preserve">“may be waived when the testing laboratory has </w:t>
      </w:r>
      <w:r w:rsidR="00564852" w:rsidRPr="00564852">
        <w:rPr>
          <w:i/>
          <w:iCs/>
        </w:rPr>
        <w:lastRenderedPageBreak/>
        <w:t>demonstrated proficiency in the conduct of the test and has established a historical positive control range”</w:t>
      </w:r>
      <w:r w:rsidR="00564852" w:rsidRPr="00564852">
        <w:t>.</w:t>
      </w:r>
      <w:r w:rsidR="00564852">
        <w:t xml:space="preserve"> Although NTP has not published historical control ranges, many substances have been reported as positive, and there is therefore no doubt that the NTP protocol can detect genotoxic substances. </w:t>
      </w:r>
    </w:p>
    <w:p w14:paraId="290C32BD" w14:textId="36B378DC" w:rsidR="0024066A" w:rsidRDefault="00781D08" w:rsidP="003A1200">
      <w:pPr>
        <w:jc w:val="both"/>
        <w:rPr>
          <w:b/>
          <w:bCs/>
        </w:rPr>
      </w:pPr>
      <w:r w:rsidRPr="00781D08">
        <w:rPr>
          <w:b/>
          <w:bCs/>
        </w:rPr>
        <w:t xml:space="preserve">It is therefore not correct to conclude that the NTP study </w:t>
      </w:r>
      <w:r>
        <w:rPr>
          <w:b/>
          <w:bCs/>
        </w:rPr>
        <w:t>is</w:t>
      </w:r>
      <w:r w:rsidRPr="00781D08">
        <w:rPr>
          <w:b/>
          <w:bCs/>
        </w:rPr>
        <w:t xml:space="preserve"> unreliable, because it did follow (in fact in many ways exceeded) the </w:t>
      </w:r>
      <w:r w:rsidR="00DA5616">
        <w:rPr>
          <w:b/>
          <w:bCs/>
        </w:rPr>
        <w:t xml:space="preserve">actual </w:t>
      </w:r>
      <w:r w:rsidRPr="00781D08">
        <w:rPr>
          <w:b/>
          <w:bCs/>
        </w:rPr>
        <w:t>OECD guideline, and the absence of a concurrent positive control is acceptable in an established laboratory using a protocol that has delivered many positive results. The study should be considered reliable (reliability score of 1), and the negative MN results should be included in the evaluation of the genotoxic potential of TMPTA.</w:t>
      </w:r>
    </w:p>
    <w:p w14:paraId="0AABCABA" w14:textId="7B8CEA41" w:rsidR="006C7CD9" w:rsidRDefault="006C7CD9" w:rsidP="003A1200">
      <w:pPr>
        <w:jc w:val="both"/>
        <w:rPr>
          <w:b/>
          <w:bCs/>
        </w:rPr>
      </w:pPr>
    </w:p>
    <w:p w14:paraId="6803B1A7" w14:textId="7383C1DA" w:rsidR="006C7CD9" w:rsidRDefault="006C7CD9" w:rsidP="006C7CD9">
      <w:pPr>
        <w:pStyle w:val="ListParagraph"/>
        <w:numPr>
          <w:ilvl w:val="0"/>
          <w:numId w:val="4"/>
        </w:numPr>
        <w:jc w:val="both"/>
        <w:rPr>
          <w:b/>
          <w:bCs/>
        </w:rPr>
      </w:pPr>
      <w:r>
        <w:rPr>
          <w:b/>
          <w:bCs/>
        </w:rPr>
        <w:t xml:space="preserve">The </w:t>
      </w:r>
      <w:r>
        <w:rPr>
          <w:b/>
          <w:bCs/>
          <w:i/>
          <w:iCs/>
        </w:rPr>
        <w:t>in vivo</w:t>
      </w:r>
      <w:r>
        <w:rPr>
          <w:b/>
          <w:bCs/>
        </w:rPr>
        <w:t xml:space="preserve"> mouse comet assay in bone marrow and liver</w:t>
      </w:r>
    </w:p>
    <w:p w14:paraId="094E38FD" w14:textId="69FC09A6" w:rsidR="006C7CD9" w:rsidRDefault="006C7CD9" w:rsidP="006C7CD9">
      <w:pPr>
        <w:jc w:val="both"/>
      </w:pPr>
      <w:r>
        <w:t xml:space="preserve">In light of the absence of direct evidence of systemic (and therefore bone marrow) exposure in the MN studies discussed above, and the reliance on predictions based on </w:t>
      </w:r>
      <w:r w:rsidRPr="006C7CD9">
        <w:t>REACH guidance document 7c</w:t>
      </w:r>
      <w:r>
        <w:t>, it was decided to perform this comet assay using intravenous (i.v.) dosing, thus ensuring that the target tissues (bone marrow and liver) would be exposed</w:t>
      </w:r>
      <w:r w:rsidR="0069647B">
        <w:t>, and this was accepted by ECHA</w:t>
      </w:r>
      <w:r>
        <w:t>.</w:t>
      </w:r>
      <w:r w:rsidR="003E0D67">
        <w:t xml:space="preserve"> Although a proposed maximum tolerated dose of 10 mg/kg/day was identified from a range-finding experiment and was used as the top dose in an initial study, inconsistencies in formulation analysis required the study to be repeated whereupon a </w:t>
      </w:r>
      <w:r w:rsidR="00A54CDD">
        <w:t xml:space="preserve">second range-finding experiment was performed and a </w:t>
      </w:r>
      <w:r w:rsidR="003E0D67">
        <w:t xml:space="preserve">higher top dose of 20 mg/kg/day was used. </w:t>
      </w:r>
      <w:r w:rsidR="00A54CDD">
        <w:t>Apart from the early sampling time and the question as to whether the historical control data supported the study (both discussed below), all other aspects of the study complied with the OECD Test Guideline TG489 (OECD, 2016b).</w:t>
      </w:r>
    </w:p>
    <w:p w14:paraId="20B0BFB5" w14:textId="2D862E04" w:rsidR="006C7CD9" w:rsidRDefault="006C7CD9" w:rsidP="006C7CD9">
      <w:pPr>
        <w:jc w:val="both"/>
      </w:pPr>
      <w:r>
        <w:t>The 5 issues of concern raised by ANSES are discussed separately below.</w:t>
      </w:r>
    </w:p>
    <w:p w14:paraId="5F0A1DB6" w14:textId="708C0A71" w:rsidR="00F3138D" w:rsidRDefault="00DA5616" w:rsidP="00A54CDD">
      <w:pPr>
        <w:pStyle w:val="ListParagraph"/>
        <w:numPr>
          <w:ilvl w:val="0"/>
          <w:numId w:val="5"/>
        </w:numPr>
        <w:jc w:val="both"/>
      </w:pPr>
      <w:r>
        <w:t xml:space="preserve">ANSES argues that </w:t>
      </w:r>
      <w:r w:rsidR="00A54CDD">
        <w:t xml:space="preserve">PEG 400 </w:t>
      </w:r>
      <w:r w:rsidR="00132C39">
        <w:t>wa</w:t>
      </w:r>
      <w:r w:rsidR="00A54CDD">
        <w:t>s not a suitable solvent (vehicle) d</w:t>
      </w:r>
      <w:r w:rsidR="00A54CDD" w:rsidRPr="00A54CDD">
        <w:t xml:space="preserve">ue to its viscous properties and its anti-inflammatory properties. </w:t>
      </w:r>
      <w:r w:rsidR="00A93DDF">
        <w:t>Certainly,</w:t>
      </w:r>
      <w:r w:rsidR="00132C39">
        <w:t xml:space="preserve"> a less viscous (e.g. aqueous) vehicle would have made i.v. injection much easier but TMPTA was not soluble in water</w:t>
      </w:r>
      <w:r>
        <w:t xml:space="preserve"> </w:t>
      </w:r>
      <w:r w:rsidR="0069647B">
        <w:t>or</w:t>
      </w:r>
      <w:r>
        <w:t xml:space="preserve"> corn oil</w:t>
      </w:r>
      <w:r w:rsidR="00132C39">
        <w:t xml:space="preserve">. </w:t>
      </w:r>
      <w:r w:rsidR="00F61467">
        <w:t xml:space="preserve">ANSES suggested a more common solvent such as corn oil or CMC should have been considered. </w:t>
      </w:r>
      <w:r w:rsidR="00B96E0A" w:rsidRPr="00B96E0A">
        <w:rPr>
          <w:rFonts w:ascii="Calibri" w:hAnsi="Calibri" w:cs="Calibri"/>
        </w:rPr>
        <w:t xml:space="preserve">The viscosity of PEG 400 is </w:t>
      </w:r>
      <w:r w:rsidR="00B96E0A" w:rsidRPr="00B96E0A">
        <w:rPr>
          <w:rFonts w:ascii="Calibri" w:hAnsi="Calibri" w:cs="Calibri"/>
          <w:color w:val="222222"/>
        </w:rPr>
        <w:t>90.0 c</w:t>
      </w:r>
      <w:r w:rsidR="00F61467">
        <w:rPr>
          <w:rFonts w:ascii="Calibri" w:hAnsi="Calibri" w:cs="Calibri"/>
          <w:color w:val="222222"/>
        </w:rPr>
        <w:t>entipoise</w:t>
      </w:r>
      <w:r w:rsidR="00B96E0A" w:rsidRPr="00B96E0A">
        <w:rPr>
          <w:rFonts w:ascii="Calibri" w:hAnsi="Calibri" w:cs="Calibri"/>
          <w:color w:val="222222"/>
        </w:rPr>
        <w:t xml:space="preserve"> at </w:t>
      </w:r>
      <w:bookmarkStart w:id="4" w:name="_Hlk18417991"/>
      <w:r w:rsidR="00B96E0A" w:rsidRPr="00B96E0A">
        <w:rPr>
          <w:rFonts w:ascii="Calibri" w:hAnsi="Calibri" w:cs="Calibri"/>
          <w:color w:val="222222"/>
        </w:rPr>
        <w:t>25</w:t>
      </w:r>
      <w:bookmarkStart w:id="5" w:name="_Hlk18417225"/>
      <w:r w:rsidR="00B96E0A" w:rsidRPr="00B96E0A">
        <w:rPr>
          <w:rFonts w:ascii="Calibri" w:hAnsi="Calibri" w:cs="Calibri"/>
          <w:color w:val="222222"/>
        </w:rPr>
        <w:t>°C</w:t>
      </w:r>
      <w:bookmarkEnd w:id="4"/>
      <w:bookmarkEnd w:id="5"/>
      <w:r w:rsidR="00F61467">
        <w:rPr>
          <w:rFonts w:ascii="Calibri" w:hAnsi="Calibri" w:cs="Calibri"/>
          <w:color w:val="222222"/>
        </w:rPr>
        <w:t xml:space="preserve">. Whereas </w:t>
      </w:r>
      <w:r w:rsidR="006A33DA">
        <w:rPr>
          <w:rFonts w:ascii="Calibri" w:hAnsi="Calibri" w:cs="Calibri"/>
          <w:color w:val="222222"/>
        </w:rPr>
        <w:t xml:space="preserve">for corn oil </w:t>
      </w:r>
      <w:r w:rsidR="00F61467">
        <w:rPr>
          <w:rFonts w:ascii="Calibri" w:hAnsi="Calibri" w:cs="Calibri"/>
          <w:color w:val="222222"/>
        </w:rPr>
        <w:t>the viscosity is slightly lower (65</w:t>
      </w:r>
      <w:r w:rsidR="006A33DA">
        <w:rPr>
          <w:rFonts w:ascii="Calibri" w:hAnsi="Calibri" w:cs="Calibri"/>
          <w:color w:val="222222"/>
        </w:rPr>
        <w:t xml:space="preserve"> c</w:t>
      </w:r>
      <w:r w:rsidR="00F61467">
        <w:rPr>
          <w:rFonts w:ascii="Calibri" w:hAnsi="Calibri" w:cs="Calibri"/>
          <w:color w:val="222222"/>
        </w:rPr>
        <w:t>entipoise</w:t>
      </w:r>
      <w:r w:rsidR="006A33DA">
        <w:rPr>
          <w:rFonts w:ascii="Calibri" w:hAnsi="Calibri" w:cs="Calibri"/>
          <w:color w:val="222222"/>
        </w:rPr>
        <w:t xml:space="preserve"> at </w:t>
      </w:r>
      <w:r w:rsidR="00F61467">
        <w:rPr>
          <w:rFonts w:ascii="Calibri" w:hAnsi="Calibri" w:cs="Calibri"/>
          <w:color w:val="222222"/>
        </w:rPr>
        <w:t>20</w:t>
      </w:r>
      <w:r w:rsidR="006A33DA" w:rsidRPr="00B96E0A">
        <w:rPr>
          <w:rFonts w:ascii="Calibri" w:hAnsi="Calibri" w:cs="Calibri"/>
          <w:color w:val="222222"/>
        </w:rPr>
        <w:t>°C</w:t>
      </w:r>
      <w:r w:rsidR="00F61467">
        <w:rPr>
          <w:rFonts w:ascii="Calibri" w:hAnsi="Calibri" w:cs="Calibri"/>
          <w:color w:val="222222"/>
        </w:rPr>
        <w:t>)</w:t>
      </w:r>
      <w:r w:rsidR="006A33DA">
        <w:rPr>
          <w:rFonts w:ascii="Calibri" w:hAnsi="Calibri" w:cs="Calibri"/>
          <w:color w:val="222222"/>
        </w:rPr>
        <w:t xml:space="preserve">, for </w:t>
      </w:r>
      <w:r w:rsidR="00F61467">
        <w:rPr>
          <w:rFonts w:ascii="Calibri" w:hAnsi="Calibri" w:cs="Calibri"/>
          <w:color w:val="222222"/>
        </w:rPr>
        <w:t xml:space="preserve">1% </w:t>
      </w:r>
      <w:r w:rsidR="006A33DA">
        <w:rPr>
          <w:rFonts w:ascii="Calibri" w:hAnsi="Calibri" w:cs="Calibri"/>
          <w:color w:val="222222"/>
        </w:rPr>
        <w:t xml:space="preserve">CMC </w:t>
      </w:r>
      <w:r w:rsidR="00F61467">
        <w:rPr>
          <w:rFonts w:ascii="Calibri" w:hAnsi="Calibri" w:cs="Calibri"/>
          <w:color w:val="222222"/>
        </w:rPr>
        <w:t xml:space="preserve">it </w:t>
      </w:r>
      <w:r w:rsidR="006A33DA">
        <w:rPr>
          <w:rFonts w:ascii="Calibri" w:hAnsi="Calibri" w:cs="Calibri"/>
          <w:color w:val="222222"/>
        </w:rPr>
        <w:t xml:space="preserve">is </w:t>
      </w:r>
      <w:r w:rsidR="00F61467">
        <w:rPr>
          <w:rFonts w:ascii="Calibri" w:hAnsi="Calibri" w:cs="Calibri"/>
          <w:color w:val="222222"/>
        </w:rPr>
        <w:t xml:space="preserve">much higher (1500-3000 centipoise at </w:t>
      </w:r>
      <w:r w:rsidR="00F61467" w:rsidRPr="00B96E0A">
        <w:rPr>
          <w:rFonts w:ascii="Calibri" w:hAnsi="Calibri" w:cs="Calibri"/>
          <w:color w:val="222222"/>
        </w:rPr>
        <w:t>25°C</w:t>
      </w:r>
      <w:r w:rsidR="00F61467">
        <w:rPr>
          <w:rFonts w:ascii="Calibri" w:hAnsi="Calibri" w:cs="Calibri"/>
          <w:color w:val="222222"/>
        </w:rPr>
        <w:t>)</w:t>
      </w:r>
      <w:r w:rsidR="00B96E0A" w:rsidRPr="00B96E0A">
        <w:rPr>
          <w:rFonts w:ascii="Calibri" w:hAnsi="Calibri" w:cs="Calibri"/>
          <w:color w:val="222222"/>
        </w:rPr>
        <w:t xml:space="preserve">. </w:t>
      </w:r>
      <w:r w:rsidR="00F61467">
        <w:rPr>
          <w:rFonts w:ascii="Calibri" w:hAnsi="Calibri" w:cs="Calibri"/>
          <w:color w:val="222222"/>
        </w:rPr>
        <w:t xml:space="preserve">Thus, whilst corn oil could have been preferred based on viscosity, CMC would certainly not have been a better choice. PEG 400 </w:t>
      </w:r>
      <w:r w:rsidR="00B96E0A" w:rsidRPr="00B96E0A">
        <w:rPr>
          <w:rFonts w:ascii="Calibri" w:hAnsi="Calibri" w:cs="Calibri"/>
          <w:color w:val="222222"/>
        </w:rPr>
        <w:t>is strongly hydrophilic and would therefore be readily miscible with blood</w:t>
      </w:r>
      <w:r w:rsidR="00F61467">
        <w:rPr>
          <w:rFonts w:ascii="Calibri" w:hAnsi="Calibri" w:cs="Calibri"/>
          <w:color w:val="222222"/>
        </w:rPr>
        <w:t>,</w:t>
      </w:r>
      <w:r w:rsidR="00B96E0A" w:rsidRPr="00B96E0A">
        <w:rPr>
          <w:rFonts w:ascii="Calibri" w:hAnsi="Calibri" w:cs="Calibri"/>
          <w:color w:val="222222"/>
        </w:rPr>
        <w:t xml:space="preserve"> allow</w:t>
      </w:r>
      <w:r w:rsidR="00062A4C">
        <w:rPr>
          <w:rFonts w:ascii="Calibri" w:hAnsi="Calibri" w:cs="Calibri"/>
          <w:color w:val="222222"/>
        </w:rPr>
        <w:t>ing</w:t>
      </w:r>
      <w:r w:rsidR="00B96E0A" w:rsidRPr="00B96E0A">
        <w:rPr>
          <w:rFonts w:ascii="Calibri" w:hAnsi="Calibri" w:cs="Calibri"/>
          <w:color w:val="222222"/>
        </w:rPr>
        <w:t xml:space="preserve"> rapid homogeneous distribution though the body.</w:t>
      </w:r>
      <w:r w:rsidR="00B96E0A" w:rsidRPr="00B96E0A">
        <w:rPr>
          <w:rFonts w:ascii="Calibri" w:hAnsi="Calibri" w:cs="Calibri"/>
        </w:rPr>
        <w:t xml:space="preserve"> </w:t>
      </w:r>
      <w:r w:rsidR="00F61467">
        <w:rPr>
          <w:rFonts w:ascii="Calibri" w:hAnsi="Calibri" w:cs="Calibri"/>
        </w:rPr>
        <w:t>Corn oil is not miscible with water and therefore would not have been an appropriate vehicle for i.v. injection.</w:t>
      </w:r>
      <w:r w:rsidR="00A54CDD" w:rsidRPr="00A54CDD">
        <w:t xml:space="preserve"> </w:t>
      </w:r>
      <w:r w:rsidR="00132C39">
        <w:t xml:space="preserve">ANSES acknowledge that, according to </w:t>
      </w:r>
      <w:r w:rsidR="00A54CDD" w:rsidRPr="00A54CDD">
        <w:t xml:space="preserve">the literature, PEG 400 is reported as well tolerated in different species and several routes, including </w:t>
      </w:r>
      <w:r w:rsidR="00F3138D">
        <w:t xml:space="preserve">the i.v. </w:t>
      </w:r>
      <w:r w:rsidR="00A54CDD" w:rsidRPr="00A54CDD">
        <w:t>route</w:t>
      </w:r>
      <w:r w:rsidR="00F3138D">
        <w:t>.</w:t>
      </w:r>
      <w:r w:rsidR="00A54CDD" w:rsidRPr="00A54CDD">
        <w:t xml:space="preserve"> </w:t>
      </w:r>
    </w:p>
    <w:p w14:paraId="57E21DE4" w14:textId="77777777" w:rsidR="00F3138D" w:rsidRDefault="00F3138D" w:rsidP="00F3138D">
      <w:pPr>
        <w:pStyle w:val="ListParagraph"/>
        <w:ind w:left="1080"/>
        <w:jc w:val="both"/>
      </w:pPr>
    </w:p>
    <w:p w14:paraId="6F7163EE" w14:textId="056A5DED" w:rsidR="003D6694" w:rsidRDefault="00F3138D" w:rsidP="00F3138D">
      <w:pPr>
        <w:pStyle w:val="ListParagraph"/>
        <w:ind w:left="1080"/>
        <w:jc w:val="both"/>
      </w:pPr>
      <w:r>
        <w:t xml:space="preserve">It appears the objection to the use of PEG 400 is based more on its reported </w:t>
      </w:r>
      <w:r w:rsidR="00A54CDD" w:rsidRPr="00A54CDD">
        <w:t>anti</w:t>
      </w:r>
      <w:r>
        <w:t>-</w:t>
      </w:r>
      <w:r w:rsidR="00A54CDD" w:rsidRPr="00A54CDD">
        <w:t>inflammatory/anti-oxidant properties</w:t>
      </w:r>
      <w:r>
        <w:t xml:space="preserve">, </w:t>
      </w:r>
      <w:r w:rsidR="00A54CDD" w:rsidRPr="00A54CDD">
        <w:t xml:space="preserve">as well as some protective effects when administered with other substances. </w:t>
      </w:r>
      <w:r>
        <w:t xml:space="preserve">ANSES argue that </w:t>
      </w:r>
      <w:r w:rsidR="00A54CDD" w:rsidRPr="00A54CDD">
        <w:t>PEG 400 may reduce or affect the intrinsic toxicity of TMPTA</w:t>
      </w:r>
      <w:r>
        <w:t xml:space="preserve">, and </w:t>
      </w:r>
      <w:r w:rsidR="00A54CDD" w:rsidRPr="00A54CDD">
        <w:t xml:space="preserve">may counteract the irritation induced by TMPTA that may contribute to DNA damage. </w:t>
      </w:r>
      <w:r>
        <w:t>Therefore</w:t>
      </w:r>
      <w:r w:rsidR="00C91DE8">
        <w:t>,</w:t>
      </w:r>
      <w:r>
        <w:t xml:space="preserve"> they fear </w:t>
      </w:r>
      <w:r w:rsidR="00A54CDD" w:rsidRPr="00A54CDD">
        <w:t xml:space="preserve">that using PEG 400 may </w:t>
      </w:r>
      <w:r>
        <w:t xml:space="preserve">have </w:t>
      </w:r>
      <w:r w:rsidR="00A54CDD" w:rsidRPr="00A54CDD">
        <w:t>mask</w:t>
      </w:r>
      <w:r>
        <w:t>ed</w:t>
      </w:r>
      <w:r w:rsidR="00A54CDD" w:rsidRPr="00A54CDD">
        <w:t>/decrease</w:t>
      </w:r>
      <w:r>
        <w:t>d</w:t>
      </w:r>
      <w:r w:rsidR="00A54CDD" w:rsidRPr="00A54CDD">
        <w:t xml:space="preserve"> the reactivity of TMPTA.</w:t>
      </w:r>
      <w:r w:rsidR="00C91DE8">
        <w:t xml:space="preserve"> </w:t>
      </w:r>
      <w:r w:rsidR="003D6694">
        <w:t xml:space="preserve">This would be a reasonable concern if TMPTA had been tested up to a non-toxic dose. However, it was toxic, and </w:t>
      </w:r>
      <w:r w:rsidR="0072746D">
        <w:t>i</w:t>
      </w:r>
      <w:r w:rsidR="00C91DE8">
        <w:t>f PEG 400 did reduce the irritation and intrinsic toxicity of TMPTA</w:t>
      </w:r>
      <w:r w:rsidR="003D6694">
        <w:t xml:space="preserve"> at lower doses</w:t>
      </w:r>
      <w:r w:rsidR="00C91DE8">
        <w:t xml:space="preserve">, </w:t>
      </w:r>
      <w:r w:rsidR="003D6694">
        <w:t xml:space="preserve">it was </w:t>
      </w:r>
      <w:r w:rsidR="00C91DE8">
        <w:t xml:space="preserve">overcome at higher </w:t>
      </w:r>
      <w:r w:rsidR="00C91DE8">
        <w:lastRenderedPageBreak/>
        <w:t xml:space="preserve">doses. The fact that a dose of </w:t>
      </w:r>
      <w:r w:rsidR="003D6694">
        <w:t>30 mg/kg induced clonic convulsions, hunched posture and body weight loss indicates that any protective effects of PEG 400 were overcome at these doses, and hence a top dose of 20 mg/kg (as used in the second definitive experiment) was appropriate, and not likely to be masking the toxic or genotoxic effects of TMPTA.</w:t>
      </w:r>
    </w:p>
    <w:p w14:paraId="4692BAEC" w14:textId="77777777" w:rsidR="003D6694" w:rsidRDefault="003D6694" w:rsidP="00F3138D">
      <w:pPr>
        <w:pStyle w:val="ListParagraph"/>
        <w:ind w:left="1080"/>
        <w:jc w:val="both"/>
      </w:pPr>
    </w:p>
    <w:p w14:paraId="0FA016A3" w14:textId="101BC584" w:rsidR="00A54CDD" w:rsidRDefault="003D6694" w:rsidP="003D6694">
      <w:pPr>
        <w:pStyle w:val="ListParagraph"/>
        <w:numPr>
          <w:ilvl w:val="0"/>
          <w:numId w:val="5"/>
        </w:numPr>
        <w:jc w:val="both"/>
      </w:pPr>
      <w:r>
        <w:t xml:space="preserve">The recommendation in TG489 (OECD, 2016b) to collect tissues 2-6 hrs after the last dose </w:t>
      </w:r>
      <w:r w:rsidR="006942E8">
        <w:t xml:space="preserve">(of 2 or more doses) </w:t>
      </w:r>
      <w:r>
        <w:t xml:space="preserve">in a comet assay is based on routes of administration </w:t>
      </w:r>
      <w:r w:rsidR="0069647B">
        <w:t xml:space="preserve">such as </w:t>
      </w:r>
      <w:r>
        <w:t xml:space="preserve">oral, inhalation, </w:t>
      </w:r>
      <w:r w:rsidR="0069647B">
        <w:t xml:space="preserve">or </w:t>
      </w:r>
      <w:r>
        <w:t xml:space="preserve">dermal, allowing time for the test substance to be absorbed, enter the systemic circulation and reach the target tissues. Clearly, when a substance is administered i.v. it will reach the target tissues much more quickly, and therefore an earlier sampling time should be considered. </w:t>
      </w:r>
      <w:r w:rsidR="006942E8">
        <w:t xml:space="preserve">In any case, the guideline states </w:t>
      </w:r>
      <w:r w:rsidR="006942E8" w:rsidRPr="006942E8">
        <w:rPr>
          <w:i/>
          <w:iCs/>
        </w:rPr>
        <w:t>“The sampling time is a critical variable because it is determined by the period needed for the test chemicals to reach maximum concentration in the target tissue and for DNA strand breaks to be induced but before those breaks are removed, repaired or lead to cell death. The persistence of some of the lesions that lead to the DNA strand breaks detected by the comet assay may be very short, at least for some substances tested in vitro</w:t>
      </w:r>
      <w:r w:rsidR="006942E8">
        <w:rPr>
          <w:i/>
          <w:iCs/>
        </w:rPr>
        <w:t>”</w:t>
      </w:r>
      <w:r w:rsidR="006942E8" w:rsidRPr="006942E8">
        <w:rPr>
          <w:i/>
          <w:iCs/>
        </w:rPr>
        <w:t xml:space="preserve"> </w:t>
      </w:r>
      <w:r w:rsidR="00927551">
        <w:t xml:space="preserve">(see </w:t>
      </w:r>
      <w:r w:rsidR="006942E8" w:rsidRPr="003E0D67">
        <w:t>Blakey</w:t>
      </w:r>
      <w:r w:rsidR="006942E8">
        <w:t xml:space="preserve"> </w:t>
      </w:r>
      <w:r w:rsidR="006942E8" w:rsidRPr="003E0D67">
        <w:t>and</w:t>
      </w:r>
      <w:r w:rsidR="006942E8">
        <w:t xml:space="preserve"> </w:t>
      </w:r>
      <w:r w:rsidR="006942E8" w:rsidRPr="003E0D67">
        <w:t>Douglas</w:t>
      </w:r>
      <w:r w:rsidR="006942E8">
        <w:t>, 1984, 1990</w:t>
      </w:r>
      <w:r w:rsidR="00927551">
        <w:t>). The guideline also states “</w:t>
      </w:r>
      <w:r w:rsidR="006942E8" w:rsidRPr="006942E8">
        <w:rPr>
          <w:i/>
          <w:iCs/>
        </w:rPr>
        <w:t>Accordingly, if such transient DNA lesions are suspected, measures should be taken to mitigate their loss by ensuring that tissues are sampled sufficiently early, possibly earlier than the default times</w:t>
      </w:r>
      <w:r w:rsidR="00927551">
        <w:rPr>
          <w:i/>
          <w:iCs/>
        </w:rPr>
        <w:t>”</w:t>
      </w:r>
      <w:r w:rsidR="006942E8" w:rsidRPr="006942E8">
        <w:rPr>
          <w:i/>
          <w:iCs/>
        </w:rPr>
        <w:t xml:space="preserve"> </w:t>
      </w:r>
      <w:r w:rsidR="00927551">
        <w:t>i.e. the 2-6 hr default sampling slot is a compromise in the absence of other defining factors. The guideline also states</w:t>
      </w:r>
      <w:r w:rsidR="00927551" w:rsidRPr="006942E8">
        <w:rPr>
          <w:i/>
          <w:iCs/>
        </w:rPr>
        <w:t xml:space="preserve"> </w:t>
      </w:r>
      <w:r w:rsidR="00927551">
        <w:rPr>
          <w:i/>
          <w:iCs/>
        </w:rPr>
        <w:t>“</w:t>
      </w:r>
      <w:r w:rsidR="006942E8" w:rsidRPr="006942E8">
        <w:rPr>
          <w:i/>
          <w:iCs/>
        </w:rPr>
        <w:t>The optimum sampling time(s) may be substance- or route-specific resulting in, for example, rapid tissue exposure with intravenous administration or inhalation exposure”</w:t>
      </w:r>
      <w:r w:rsidR="00927551">
        <w:t>. Thus, given all of the above, sampling at 30 minutes after the second dose is considered optimal.</w:t>
      </w:r>
    </w:p>
    <w:p w14:paraId="49E13AB6" w14:textId="4E824F20" w:rsidR="00927551" w:rsidRDefault="00BF7927" w:rsidP="003D6694">
      <w:pPr>
        <w:pStyle w:val="ListParagraph"/>
        <w:numPr>
          <w:ilvl w:val="0"/>
          <w:numId w:val="5"/>
        </w:numPr>
        <w:jc w:val="both"/>
      </w:pPr>
      <w:r>
        <w:t xml:space="preserve">The bone marrow is not a tissue that is frequently sampled for induction of comets, since genotoxic effects in this tissue are more usually assessed by the MN endpoint. As a result, the laboratory performing the study (Covance) only had negative and positive control comet data in mouse bone marrow from one previous study. The mean tail intensity in the PEG 400 vehicle control group (0.18%) was slightly lower than the observed range </w:t>
      </w:r>
      <w:r w:rsidR="00B616E4">
        <w:t xml:space="preserve">(0.24-0.72%) </w:t>
      </w:r>
      <w:r>
        <w:t xml:space="preserve">in the previous bone marrow comet study </w:t>
      </w:r>
      <w:r w:rsidR="00B616E4">
        <w:t xml:space="preserve">with a different vehicle (CMC). Tail intensity values at 10 and 20 mg/kg/day TMPTA were very close to the concurrent vehicle control, and to the controls in the previous study. There was an increase to 0.67% in the low dose (5 mg/kg/day) group and this was significantly different from the concurrent vehicle control. However, there was no dose-response, and therefore the increase is probably due to chance. Moreover, there was no evidence of a comet response in liver, which is one of the target organs for carcinogenicity. Thus, although only limited vehicle control data for the bone marrow were available, it does not invalidate the conclusions that there was </w:t>
      </w:r>
      <w:bookmarkStart w:id="6" w:name="_Hlk18424052"/>
      <w:r w:rsidR="00B616E4">
        <w:t>no evidence of biologically relevant induction of DNA strand breaks in bone marrow or liver at do</w:t>
      </w:r>
      <w:r w:rsidR="00DA5616">
        <w:t>s</w:t>
      </w:r>
      <w:r w:rsidR="00B616E4">
        <w:t>es up to the maximum tolerated.</w:t>
      </w:r>
      <w:bookmarkEnd w:id="6"/>
    </w:p>
    <w:p w14:paraId="0AC99639" w14:textId="7822511E" w:rsidR="00B616E4" w:rsidRDefault="00B616E4" w:rsidP="003D6694">
      <w:pPr>
        <w:pStyle w:val="ListParagraph"/>
        <w:numPr>
          <w:ilvl w:val="0"/>
          <w:numId w:val="5"/>
        </w:numPr>
        <w:jc w:val="both"/>
      </w:pPr>
      <w:r>
        <w:t xml:space="preserve">Since there were inconsistencies in the dose formulation analyses in the first experiment, a second experiment was performed and was valid. </w:t>
      </w:r>
      <w:r w:rsidR="00A93DDF">
        <w:t>Therefore,</w:t>
      </w:r>
      <w:r>
        <w:t xml:space="preserve"> the main conclusions on TMPTA genotoxicity should be taken from the second experiment, which, as discussed above, </w:t>
      </w:r>
      <w:r w:rsidR="00F11A5A">
        <w:t>showed no evidence of biologically relevant induction of DNA strand breaks in bone marrow or liver at do</w:t>
      </w:r>
      <w:r w:rsidR="00DA5616">
        <w:t>s</w:t>
      </w:r>
      <w:r w:rsidR="00F11A5A">
        <w:t>es up to the maximum tolerated.</w:t>
      </w:r>
    </w:p>
    <w:p w14:paraId="7624BE95" w14:textId="6B9BE682" w:rsidR="00F11A5A" w:rsidRDefault="00F11A5A" w:rsidP="003D6694">
      <w:pPr>
        <w:pStyle w:val="ListParagraph"/>
        <w:numPr>
          <w:ilvl w:val="0"/>
          <w:numId w:val="5"/>
        </w:numPr>
        <w:jc w:val="both"/>
      </w:pPr>
      <w:r>
        <w:t>The discussion regarding the statistical significance, or not (depending on which statistical analysis is done) of the comet response in bone marrow at 10 mg/kg/day TMPTA is irrelevant to the overall conclusion since, whether it was significant or not, there was no dose response and therefore no biologically relevant induction of DNA strand breaks.</w:t>
      </w:r>
    </w:p>
    <w:p w14:paraId="56E6ECA8" w14:textId="1E16BBBB" w:rsidR="00F11A5A" w:rsidRDefault="00F11A5A" w:rsidP="00F11A5A">
      <w:pPr>
        <w:jc w:val="both"/>
      </w:pPr>
    </w:p>
    <w:p w14:paraId="372D8C22" w14:textId="55256B08" w:rsidR="001E3631" w:rsidRDefault="00F11A5A" w:rsidP="003A1200">
      <w:pPr>
        <w:jc w:val="both"/>
      </w:pPr>
      <w:r>
        <w:t xml:space="preserve">In conclusion, the 3 </w:t>
      </w:r>
      <w:r>
        <w:rPr>
          <w:i/>
          <w:iCs/>
        </w:rPr>
        <w:t>in vivo</w:t>
      </w:r>
      <w:r>
        <w:t xml:space="preserve"> studies that were considered by ANSES to be insufficient for an assessment of genotoxicity are considered to have provided valid results and should be considered. In this case, since negative results were found for MN in bone marrow (in 2 studies using different routes of administration, and over different dosing periods), and for DNA strand breaks in bone marrow and liver, there is no evidence that TMPTA is genotoxic in somatic tissues of rodents, and therefore, according to CLP Regulation, </w:t>
      </w:r>
      <w:r w:rsidR="005C707D">
        <w:t xml:space="preserve">is not a suspected </w:t>
      </w:r>
      <w:r>
        <w:t>germ cell mutagen.</w:t>
      </w:r>
    </w:p>
    <w:p w14:paraId="2C615019" w14:textId="77777777" w:rsidR="0027737A" w:rsidRDefault="0027737A" w:rsidP="003A1200">
      <w:pPr>
        <w:jc w:val="both"/>
      </w:pPr>
    </w:p>
    <w:p w14:paraId="1787E71A" w14:textId="24D8CDF1" w:rsidR="0027737A" w:rsidRPr="0027737A" w:rsidRDefault="0027737A" w:rsidP="003A1200">
      <w:pPr>
        <w:jc w:val="both"/>
        <w:rPr>
          <w:b/>
          <w:bCs/>
        </w:rPr>
      </w:pPr>
      <w:r w:rsidRPr="0027737A">
        <w:rPr>
          <w:b/>
          <w:bCs/>
        </w:rPr>
        <w:t>Declaration of interest</w:t>
      </w:r>
    </w:p>
    <w:p w14:paraId="3004024B" w14:textId="491657F5" w:rsidR="0027737A" w:rsidRDefault="0027737A" w:rsidP="003A1200">
      <w:pPr>
        <w:jc w:val="both"/>
      </w:pPr>
      <w:r>
        <w:t xml:space="preserve">I was requested by the PARAD Reach Consortium to submit comments on the Genetic Toxicity assessment of TMPTA, and therefore my time spent </w:t>
      </w:r>
      <w:r w:rsidR="001619B9">
        <w:t>preparing these comments</w:t>
      </w:r>
      <w:r>
        <w:t xml:space="preserve"> was funded by the PARAD Reach Consortium. However, the opinions expressed herein are entirely my </w:t>
      </w:r>
      <w:r w:rsidR="001619B9">
        <w:t xml:space="preserve">own </w:t>
      </w:r>
      <w:r>
        <w:t xml:space="preserve">opinions, and </w:t>
      </w:r>
      <w:r w:rsidR="001619B9">
        <w:t xml:space="preserve">were </w:t>
      </w:r>
      <w:r>
        <w:t xml:space="preserve">not influenced </w:t>
      </w:r>
      <w:r w:rsidR="001619B9">
        <w:t xml:space="preserve">in any way </w:t>
      </w:r>
      <w:r>
        <w:t xml:space="preserve">by the </w:t>
      </w:r>
      <w:r w:rsidR="001619B9">
        <w:t>Consortium</w:t>
      </w:r>
      <w:r>
        <w:t xml:space="preserve">. </w:t>
      </w:r>
    </w:p>
    <w:p w14:paraId="70B980DF" w14:textId="77777777" w:rsidR="00F11A5A" w:rsidRPr="00F11A5A" w:rsidRDefault="00F11A5A" w:rsidP="003A1200">
      <w:pPr>
        <w:jc w:val="both"/>
      </w:pPr>
    </w:p>
    <w:p w14:paraId="35B71FA6" w14:textId="20A2651B" w:rsidR="0024066A" w:rsidRPr="0024066A" w:rsidRDefault="0024066A" w:rsidP="003A1200">
      <w:pPr>
        <w:jc w:val="both"/>
        <w:rPr>
          <w:b/>
          <w:bCs/>
        </w:rPr>
      </w:pPr>
      <w:r w:rsidRPr="0024066A">
        <w:rPr>
          <w:b/>
          <w:bCs/>
        </w:rPr>
        <w:t>References</w:t>
      </w:r>
    </w:p>
    <w:p w14:paraId="0DE7821B" w14:textId="77777777" w:rsidR="00F35A90" w:rsidRDefault="00F35A90" w:rsidP="00F35A90">
      <w:pPr>
        <w:jc w:val="both"/>
      </w:pPr>
      <w:r w:rsidRPr="006942E8">
        <w:t xml:space="preserve">D.H. Blakey, G.R. Douglas, Transient DNA lesions induced by benzo[a]pyrene in Chinese hamster ovary cells, Mutat. Res. 140 (1984) 141–145. </w:t>
      </w:r>
    </w:p>
    <w:p w14:paraId="0576EE93" w14:textId="3EAB29AF" w:rsidR="00F35A90" w:rsidRPr="008C6F31" w:rsidRDefault="00F35A90" w:rsidP="00F35A90">
      <w:pPr>
        <w:jc w:val="both"/>
      </w:pPr>
      <w:r w:rsidRPr="006942E8">
        <w:t>D.H. Blakey, G.R. Douglas, The role of excision repair in the removal of transient benzo[a]pyrene-induced DNA lesions in Chinese hamster ovary cells, Mutat. Res. 236 (1990) 35–41</w:t>
      </w:r>
      <w:r>
        <w:t>.</w:t>
      </w:r>
    </w:p>
    <w:p w14:paraId="5F270869" w14:textId="77777777" w:rsidR="00F35A90" w:rsidRPr="00FA7B49" w:rsidRDefault="00F35A90" w:rsidP="00F35A90">
      <w:pPr>
        <w:shd w:val="clear" w:color="auto" w:fill="FFFFFF"/>
        <w:spacing w:after="120" w:line="240" w:lineRule="auto"/>
        <w:jc w:val="both"/>
        <w:rPr>
          <w:rFonts w:ascii="Calibri" w:eastAsia="Times New Roman" w:hAnsi="Calibri" w:cs="Calibri"/>
          <w:kern w:val="36"/>
          <w:lang w:val="en" w:eastAsia="en-GB"/>
        </w:rPr>
      </w:pPr>
      <w:r w:rsidRPr="00FA7B49">
        <w:rPr>
          <w:rFonts w:ascii="Calibri" w:eastAsia="Times New Roman" w:hAnsi="Calibri" w:cs="Calibri"/>
          <w:lang w:val="en" w:eastAsia="en-GB"/>
        </w:rPr>
        <w:t xml:space="preserve">S.D. </w:t>
      </w:r>
      <w:hyperlink r:id="rId9" w:history="1">
        <w:r w:rsidRPr="00FA7B49">
          <w:rPr>
            <w:rFonts w:ascii="Calibri" w:eastAsia="Times New Roman" w:hAnsi="Calibri" w:cs="Calibri"/>
            <w:lang w:val="en" w:eastAsia="en-GB"/>
          </w:rPr>
          <w:t>Dertinger</w:t>
        </w:r>
      </w:hyperlink>
      <w:r w:rsidRPr="00FA7B49">
        <w:rPr>
          <w:rFonts w:ascii="Calibri" w:eastAsia="Times New Roman" w:hAnsi="Calibri" w:cs="Calibri"/>
          <w:lang w:val="en" w:eastAsia="en-GB"/>
        </w:rPr>
        <w:t xml:space="preserve">, D.K. </w:t>
      </w:r>
      <w:hyperlink r:id="rId10" w:history="1">
        <w:r w:rsidRPr="00FA7B49">
          <w:rPr>
            <w:rFonts w:ascii="Calibri" w:eastAsia="Times New Roman" w:hAnsi="Calibri" w:cs="Calibri"/>
            <w:lang w:val="en" w:eastAsia="en-GB"/>
          </w:rPr>
          <w:t>Torous</w:t>
        </w:r>
      </w:hyperlink>
      <w:r w:rsidRPr="00FA7B49">
        <w:rPr>
          <w:rFonts w:ascii="Calibri" w:eastAsia="Times New Roman" w:hAnsi="Calibri" w:cs="Calibri"/>
          <w:lang w:val="en" w:eastAsia="en-GB"/>
        </w:rPr>
        <w:t xml:space="preserve">, M. </w:t>
      </w:r>
      <w:hyperlink r:id="rId11" w:history="1">
        <w:r w:rsidRPr="00FA7B49">
          <w:rPr>
            <w:rFonts w:ascii="Calibri" w:eastAsia="Times New Roman" w:hAnsi="Calibri" w:cs="Calibri"/>
            <w:lang w:val="en" w:eastAsia="en-GB"/>
          </w:rPr>
          <w:t>Hayashi</w:t>
        </w:r>
      </w:hyperlink>
      <w:r w:rsidRPr="00FA7B49">
        <w:rPr>
          <w:rFonts w:ascii="Calibri" w:eastAsia="Times New Roman" w:hAnsi="Calibri" w:cs="Calibri"/>
          <w:lang w:val="en" w:eastAsia="en-GB"/>
        </w:rPr>
        <w:t xml:space="preserve">, J.T. </w:t>
      </w:r>
      <w:hyperlink r:id="rId12" w:history="1">
        <w:r w:rsidRPr="00FA7B49">
          <w:rPr>
            <w:rFonts w:ascii="Calibri" w:eastAsia="Times New Roman" w:hAnsi="Calibri" w:cs="Calibri"/>
            <w:lang w:val="en" w:eastAsia="en-GB"/>
          </w:rPr>
          <w:t>MacGregor,</w:t>
        </w:r>
        <w:r w:rsidRPr="00FA7B49">
          <w:rPr>
            <w:rFonts w:ascii="Calibri" w:eastAsia="Times New Roman" w:hAnsi="Calibri" w:cs="Calibri"/>
            <w:u w:val="single"/>
            <w:lang w:val="en" w:eastAsia="en-GB"/>
          </w:rPr>
          <w:t xml:space="preserve"> </w:t>
        </w:r>
      </w:hyperlink>
      <w:r w:rsidRPr="00FA7B49">
        <w:rPr>
          <w:rFonts w:ascii="Calibri" w:eastAsia="Times New Roman" w:hAnsi="Calibri" w:cs="Calibri"/>
          <w:kern w:val="36"/>
          <w:lang w:val="en" w:eastAsia="en-GB"/>
        </w:rPr>
        <w:t>Flow cytometric scoring of micronucleated erythrocytes: an efficient platform for assessing in vivo cytogenetic damage,</w:t>
      </w:r>
      <w:r w:rsidRPr="00FA7B49">
        <w:rPr>
          <w:rFonts w:ascii="Calibri" w:eastAsia="Times New Roman" w:hAnsi="Calibri" w:cs="Calibri"/>
          <w:lang w:val="en" w:eastAsia="en-GB"/>
        </w:rPr>
        <w:t xml:space="preserve"> </w:t>
      </w:r>
      <w:hyperlink r:id="rId13" w:tooltip="Mutagenesis." w:history="1">
        <w:r w:rsidRPr="00FA7B49">
          <w:rPr>
            <w:rFonts w:ascii="Calibri" w:eastAsia="Times New Roman" w:hAnsi="Calibri" w:cs="Calibri"/>
            <w:lang w:val="en" w:eastAsia="en-GB"/>
          </w:rPr>
          <w:t>Mutagenesis</w:t>
        </w:r>
      </w:hyperlink>
      <w:r w:rsidRPr="00FA7B49">
        <w:rPr>
          <w:rFonts w:ascii="Calibri" w:eastAsia="Times New Roman" w:hAnsi="Calibri" w:cs="Calibri"/>
          <w:lang w:val="en" w:eastAsia="en-GB"/>
        </w:rPr>
        <w:t xml:space="preserve"> 26 (2011) 139-145.</w:t>
      </w:r>
    </w:p>
    <w:p w14:paraId="7EC9E051" w14:textId="0669BFF9" w:rsidR="001E3631" w:rsidRDefault="001E3631" w:rsidP="00FA6AA5">
      <w:pPr>
        <w:spacing w:after="120"/>
        <w:jc w:val="both"/>
      </w:pPr>
      <w:r w:rsidRPr="001E3631">
        <w:t>H. Haddouk, Trimethylolpropane triacrylate. Bone marrow micronucleus test by oral route in mice. Study number 29406 MAS. CIT Laboratories, BP 563, 27005 Evreux, France, June 2006.</w:t>
      </w:r>
    </w:p>
    <w:p w14:paraId="66D1DF5D" w14:textId="4BDE6904" w:rsidR="00E504FF" w:rsidRDefault="00E504FF" w:rsidP="00FA6AA5">
      <w:pPr>
        <w:spacing w:after="120"/>
        <w:jc w:val="both"/>
      </w:pPr>
      <w:r>
        <w:t>D. Kirkland, P. Fowler, A review of the genotoxicity of trimethylolpropane triacrylate (TMPTA), Mutat. Res. 828 (2018) 36-45.</w:t>
      </w:r>
    </w:p>
    <w:p w14:paraId="21F6777E" w14:textId="24EB02A9" w:rsidR="00014B73" w:rsidRDefault="00014B73" w:rsidP="00FA6AA5">
      <w:pPr>
        <w:spacing w:after="120"/>
        <w:jc w:val="both"/>
      </w:pPr>
      <w:r w:rsidRPr="00014B73">
        <w:t>NTP</w:t>
      </w:r>
      <w:r>
        <w:t xml:space="preserve"> (2005), data can be found at </w:t>
      </w:r>
      <w:hyperlink r:id="rId14" w:history="1">
        <w:r w:rsidRPr="009B672D">
          <w:rPr>
            <w:rStyle w:val="Hyperlink"/>
          </w:rPr>
          <w:t>https://manticore.niehs.nih.gov/cebssearch/test_article/15625-89-5</w:t>
        </w:r>
      </w:hyperlink>
      <w:r>
        <w:t>.</w:t>
      </w:r>
    </w:p>
    <w:p w14:paraId="6447B612" w14:textId="7B2D80F3" w:rsidR="00FA6AA5" w:rsidRPr="00FA6AA5" w:rsidRDefault="00FA6AA5" w:rsidP="00FA6AA5">
      <w:pPr>
        <w:spacing w:after="120" w:line="240" w:lineRule="auto"/>
        <w:jc w:val="both"/>
        <w:rPr>
          <w:rFonts w:ascii="Calibri" w:eastAsia="Calibri" w:hAnsi="Calibri" w:cs="Arial"/>
        </w:rPr>
      </w:pPr>
      <w:bookmarkStart w:id="7" w:name="_Hlk519090487"/>
      <w:r>
        <w:rPr>
          <w:rFonts w:ascii="Calibri" w:eastAsia="Calibri" w:hAnsi="Calibri" w:cs="Times New Roman"/>
          <w:noProof/>
        </w:rPr>
        <w:t xml:space="preserve">OECD (1997). </w:t>
      </w:r>
      <w:r w:rsidRPr="00FA6AA5">
        <w:rPr>
          <w:rFonts w:ascii="Calibri" w:eastAsia="Calibri" w:hAnsi="Calibri" w:cs="Times New Roman"/>
          <w:noProof/>
        </w:rPr>
        <w:t>M</w:t>
      </w:r>
      <w:r w:rsidRPr="00FA6AA5">
        <w:rPr>
          <w:rFonts w:ascii="Calibri" w:eastAsia="Calibri" w:hAnsi="Calibri" w:cs="Arial"/>
        </w:rPr>
        <w:t>ammalian Erythrocyte Micronucleus Test. OECD Guidelines for the Testing of Chemicals. Organisation for Economic Co-operation and Development, Paris. Test guideline 474, adopted 2</w:t>
      </w:r>
      <w:r>
        <w:rPr>
          <w:rFonts w:ascii="Calibri" w:eastAsia="Calibri" w:hAnsi="Calibri" w:cs="Arial"/>
        </w:rPr>
        <w:t>1</w:t>
      </w:r>
      <w:r w:rsidRPr="00FA6AA5">
        <w:rPr>
          <w:rFonts w:ascii="Calibri" w:eastAsia="Calibri" w:hAnsi="Calibri" w:cs="Arial"/>
          <w:vertAlign w:val="superscript"/>
        </w:rPr>
        <w:t>st</w:t>
      </w:r>
      <w:r>
        <w:rPr>
          <w:rFonts w:ascii="Calibri" w:eastAsia="Calibri" w:hAnsi="Calibri" w:cs="Arial"/>
        </w:rPr>
        <w:t xml:space="preserve"> </w:t>
      </w:r>
      <w:r w:rsidRPr="00FA6AA5">
        <w:rPr>
          <w:rFonts w:ascii="Calibri" w:eastAsia="Calibri" w:hAnsi="Calibri" w:cs="Arial"/>
        </w:rPr>
        <w:t xml:space="preserve">July </w:t>
      </w:r>
      <w:r>
        <w:rPr>
          <w:rFonts w:ascii="Calibri" w:eastAsia="Calibri" w:hAnsi="Calibri" w:cs="Arial"/>
        </w:rPr>
        <w:t>1997</w:t>
      </w:r>
      <w:r w:rsidRPr="00FA6AA5">
        <w:rPr>
          <w:rFonts w:ascii="Calibri" w:eastAsia="Calibri" w:hAnsi="Calibri" w:cs="Arial"/>
        </w:rPr>
        <w:t>.</w:t>
      </w:r>
    </w:p>
    <w:p w14:paraId="0F3C6166" w14:textId="15F14744" w:rsidR="00FA6AA5" w:rsidRPr="00FA6AA5" w:rsidRDefault="00FA6AA5" w:rsidP="00FA6AA5">
      <w:pPr>
        <w:spacing w:after="120" w:line="240" w:lineRule="auto"/>
        <w:jc w:val="both"/>
        <w:rPr>
          <w:rFonts w:ascii="Calibri" w:eastAsia="Calibri" w:hAnsi="Calibri" w:cs="Arial"/>
        </w:rPr>
      </w:pPr>
      <w:r w:rsidRPr="00FA6AA5">
        <w:rPr>
          <w:rFonts w:ascii="Calibri" w:eastAsia="Calibri" w:hAnsi="Calibri" w:cs="Times New Roman"/>
          <w:noProof/>
        </w:rPr>
        <w:t>OECD (2016</w:t>
      </w:r>
      <w:r>
        <w:rPr>
          <w:rFonts w:ascii="Calibri" w:eastAsia="Calibri" w:hAnsi="Calibri" w:cs="Times New Roman"/>
          <w:noProof/>
        </w:rPr>
        <w:t>a</w:t>
      </w:r>
      <w:r w:rsidRPr="00FA6AA5">
        <w:rPr>
          <w:rFonts w:ascii="Calibri" w:eastAsia="Calibri" w:hAnsi="Calibri" w:cs="Times New Roman"/>
          <w:noProof/>
        </w:rPr>
        <w:t xml:space="preserve">). </w:t>
      </w:r>
      <w:bookmarkStart w:id="8" w:name="_Hlk18404489"/>
      <w:r w:rsidRPr="00FA6AA5">
        <w:rPr>
          <w:rFonts w:ascii="Calibri" w:eastAsia="Calibri" w:hAnsi="Calibri" w:cs="Times New Roman"/>
          <w:noProof/>
        </w:rPr>
        <w:t>M</w:t>
      </w:r>
      <w:r w:rsidRPr="00FA6AA5">
        <w:rPr>
          <w:rFonts w:ascii="Calibri" w:eastAsia="Calibri" w:hAnsi="Calibri" w:cs="Arial"/>
        </w:rPr>
        <w:t>ammalian Erythrocyte Micronucleus Test. OECD Guidelines for the Testing of Chemicals. Organisation for Economic Co-operation and Development, Paris. Test guideline 474, adopted 29</w:t>
      </w:r>
      <w:r w:rsidRPr="00FA6AA5">
        <w:rPr>
          <w:rFonts w:ascii="Calibri" w:eastAsia="Calibri" w:hAnsi="Calibri" w:cs="Arial"/>
          <w:vertAlign w:val="superscript"/>
        </w:rPr>
        <w:t>th</w:t>
      </w:r>
      <w:r w:rsidRPr="00FA6AA5">
        <w:rPr>
          <w:rFonts w:ascii="Calibri" w:eastAsia="Calibri" w:hAnsi="Calibri" w:cs="Arial"/>
        </w:rPr>
        <w:t xml:space="preserve"> July 2016.</w:t>
      </w:r>
    </w:p>
    <w:bookmarkEnd w:id="7"/>
    <w:bookmarkEnd w:id="8"/>
    <w:p w14:paraId="3482D9DF" w14:textId="77777777" w:rsidR="00FA6AA5" w:rsidRDefault="00FA6AA5" w:rsidP="00FA6AA5">
      <w:pPr>
        <w:pStyle w:val="Text1"/>
        <w:spacing w:after="120"/>
        <w:jc w:val="both"/>
        <w:rPr>
          <w:rFonts w:ascii="Calibri" w:eastAsia="Calibri" w:hAnsi="Calibri" w:cs="Arial"/>
          <w:sz w:val="22"/>
          <w:szCs w:val="22"/>
          <w:lang w:val="en-GB" w:eastAsia="en-US"/>
        </w:rPr>
      </w:pPr>
      <w:r w:rsidRPr="00FA6AA5">
        <w:rPr>
          <w:rFonts w:ascii="Calibri" w:eastAsia="Calibri" w:hAnsi="Calibri"/>
          <w:noProof/>
          <w:sz w:val="22"/>
          <w:szCs w:val="22"/>
          <w:lang w:val="en-GB" w:eastAsia="en-US"/>
        </w:rPr>
        <w:t>OECD (2016</w:t>
      </w:r>
      <w:r>
        <w:rPr>
          <w:rFonts w:ascii="Calibri" w:eastAsia="Calibri" w:hAnsi="Calibri"/>
          <w:noProof/>
          <w:sz w:val="22"/>
          <w:szCs w:val="22"/>
          <w:lang w:val="en-GB" w:eastAsia="en-US"/>
        </w:rPr>
        <w:t>b</w:t>
      </w:r>
      <w:r w:rsidRPr="00FA6AA5">
        <w:rPr>
          <w:rFonts w:ascii="Calibri" w:eastAsia="Calibri" w:hAnsi="Calibri"/>
          <w:noProof/>
          <w:sz w:val="22"/>
          <w:szCs w:val="22"/>
          <w:lang w:val="en-GB" w:eastAsia="en-US"/>
        </w:rPr>
        <w:t xml:space="preserve">). </w:t>
      </w:r>
      <w:r w:rsidRPr="00FA6AA5">
        <w:rPr>
          <w:rFonts w:ascii="Calibri" w:eastAsia="Calibri" w:hAnsi="Calibri" w:cs="Arial"/>
          <w:i/>
          <w:sz w:val="22"/>
          <w:szCs w:val="22"/>
          <w:lang w:val="en-GB" w:eastAsia="en-US"/>
        </w:rPr>
        <w:t>In Vivo</w:t>
      </w:r>
      <w:r w:rsidRPr="00FA6AA5">
        <w:rPr>
          <w:rFonts w:ascii="Calibri" w:eastAsia="Calibri" w:hAnsi="Calibri" w:cs="Arial"/>
          <w:sz w:val="22"/>
          <w:szCs w:val="22"/>
          <w:lang w:val="en-GB" w:eastAsia="en-US"/>
        </w:rPr>
        <w:t xml:space="preserve"> Mammalian Alkaline Comet Assay. OECD Guidelines for the Testing of Chemicals. Organisation for Economic Co-operation and Development, Paris. Test guideline 489, adopted 29</w:t>
      </w:r>
      <w:r w:rsidRPr="00FA6AA5">
        <w:rPr>
          <w:rFonts w:ascii="Calibri" w:eastAsia="Calibri" w:hAnsi="Calibri" w:cs="Arial"/>
          <w:sz w:val="22"/>
          <w:szCs w:val="22"/>
          <w:vertAlign w:val="superscript"/>
          <w:lang w:val="en-GB" w:eastAsia="en-US"/>
        </w:rPr>
        <w:t>th</w:t>
      </w:r>
      <w:r w:rsidRPr="00FA6AA5">
        <w:rPr>
          <w:rFonts w:ascii="Calibri" w:eastAsia="Calibri" w:hAnsi="Calibri" w:cs="Arial"/>
          <w:sz w:val="22"/>
          <w:szCs w:val="22"/>
          <w:lang w:val="en-GB" w:eastAsia="en-US"/>
        </w:rPr>
        <w:t xml:space="preserve"> July 2016.</w:t>
      </w:r>
    </w:p>
    <w:p w14:paraId="7358FC49" w14:textId="18272248" w:rsidR="00FA7B49" w:rsidRPr="00FA7B49" w:rsidRDefault="00FA7B49" w:rsidP="00FA7B49">
      <w:pPr>
        <w:shd w:val="clear" w:color="auto" w:fill="FFFFFF"/>
        <w:spacing w:after="120" w:line="240" w:lineRule="auto"/>
        <w:jc w:val="both"/>
        <w:rPr>
          <w:rFonts w:ascii="Calibri" w:eastAsia="Times New Roman" w:hAnsi="Calibri" w:cs="Calibri"/>
          <w:kern w:val="36"/>
          <w:lang w:val="en" w:eastAsia="en-GB"/>
        </w:rPr>
      </w:pPr>
      <w:r w:rsidRPr="00FA7B49">
        <w:rPr>
          <w:rFonts w:ascii="Calibri" w:eastAsia="Times New Roman" w:hAnsi="Calibri" w:cs="Calibri"/>
          <w:lang w:val="en" w:eastAsia="en-GB"/>
        </w:rPr>
        <w:t xml:space="preserve">K.L. </w:t>
      </w:r>
      <w:hyperlink r:id="rId15" w:history="1">
        <w:r w:rsidRPr="00FA7B49">
          <w:rPr>
            <w:rFonts w:ascii="Calibri" w:eastAsia="Times New Roman" w:hAnsi="Calibri" w:cs="Calibri"/>
            <w:lang w:val="en" w:eastAsia="en-GB"/>
          </w:rPr>
          <w:t>Witt</w:t>
        </w:r>
      </w:hyperlink>
      <w:r w:rsidRPr="00FA7B49">
        <w:rPr>
          <w:rFonts w:ascii="Calibri" w:eastAsia="Times New Roman" w:hAnsi="Calibri" w:cs="Calibri"/>
          <w:lang w:val="en" w:eastAsia="en-GB"/>
        </w:rPr>
        <w:t xml:space="preserve">, E. </w:t>
      </w:r>
      <w:hyperlink r:id="rId16" w:history="1">
        <w:r w:rsidRPr="00FA7B49">
          <w:rPr>
            <w:rFonts w:ascii="Calibri" w:eastAsia="Times New Roman" w:hAnsi="Calibri" w:cs="Calibri"/>
            <w:lang w:val="en" w:eastAsia="en-GB"/>
          </w:rPr>
          <w:t>Livanos</w:t>
        </w:r>
      </w:hyperlink>
      <w:r w:rsidRPr="00FA7B49">
        <w:rPr>
          <w:rFonts w:ascii="Calibri" w:eastAsia="Times New Roman" w:hAnsi="Calibri" w:cs="Calibri"/>
          <w:lang w:val="en" w:eastAsia="en-GB"/>
        </w:rPr>
        <w:t xml:space="preserve">, G.E. </w:t>
      </w:r>
      <w:hyperlink r:id="rId17" w:history="1">
        <w:r w:rsidRPr="00FA7B49">
          <w:rPr>
            <w:rFonts w:ascii="Calibri" w:eastAsia="Times New Roman" w:hAnsi="Calibri" w:cs="Calibri"/>
            <w:lang w:val="en" w:eastAsia="en-GB"/>
          </w:rPr>
          <w:t>Kissling</w:t>
        </w:r>
      </w:hyperlink>
      <w:r w:rsidRPr="00FA7B49">
        <w:rPr>
          <w:rFonts w:ascii="Calibri" w:eastAsia="Times New Roman" w:hAnsi="Calibri" w:cs="Calibri"/>
          <w:lang w:val="en" w:eastAsia="en-GB"/>
        </w:rPr>
        <w:t xml:space="preserve">, D.K. </w:t>
      </w:r>
      <w:hyperlink r:id="rId18" w:history="1">
        <w:r w:rsidRPr="00FA7B49">
          <w:rPr>
            <w:rFonts w:ascii="Calibri" w:eastAsia="Times New Roman" w:hAnsi="Calibri" w:cs="Calibri"/>
            <w:lang w:val="en" w:eastAsia="en-GB"/>
          </w:rPr>
          <w:t>Torous</w:t>
        </w:r>
      </w:hyperlink>
      <w:r w:rsidRPr="00FA7B49">
        <w:rPr>
          <w:rFonts w:ascii="Calibri" w:eastAsia="Times New Roman" w:hAnsi="Calibri" w:cs="Calibri"/>
          <w:lang w:val="en" w:eastAsia="en-GB"/>
        </w:rPr>
        <w:t xml:space="preserve">, W. </w:t>
      </w:r>
      <w:hyperlink r:id="rId19" w:history="1">
        <w:r w:rsidRPr="00FA7B49">
          <w:rPr>
            <w:rFonts w:ascii="Calibri" w:eastAsia="Times New Roman" w:hAnsi="Calibri" w:cs="Calibri"/>
            <w:lang w:val="en" w:eastAsia="en-GB"/>
          </w:rPr>
          <w:t>Caspary</w:t>
        </w:r>
      </w:hyperlink>
      <w:r w:rsidRPr="00FA7B49">
        <w:rPr>
          <w:rFonts w:ascii="Calibri" w:eastAsia="Times New Roman" w:hAnsi="Calibri" w:cs="Calibri"/>
          <w:lang w:val="en" w:eastAsia="en-GB"/>
        </w:rPr>
        <w:t xml:space="preserve">, R.R. </w:t>
      </w:r>
      <w:hyperlink r:id="rId20" w:history="1">
        <w:r w:rsidRPr="00FA7B49">
          <w:rPr>
            <w:rFonts w:ascii="Calibri" w:eastAsia="Times New Roman" w:hAnsi="Calibri" w:cs="Calibri"/>
            <w:lang w:val="en" w:eastAsia="en-GB"/>
          </w:rPr>
          <w:t>Tice</w:t>
        </w:r>
      </w:hyperlink>
      <w:r w:rsidRPr="00FA7B49">
        <w:rPr>
          <w:rFonts w:ascii="Calibri" w:eastAsia="Times New Roman" w:hAnsi="Calibri" w:cs="Calibri"/>
          <w:lang w:val="en" w:eastAsia="en-GB"/>
        </w:rPr>
        <w:t xml:space="preserve">, L. </w:t>
      </w:r>
      <w:hyperlink r:id="rId21" w:history="1">
        <w:r w:rsidRPr="00FA7B49">
          <w:rPr>
            <w:rFonts w:ascii="Calibri" w:eastAsia="Times New Roman" w:hAnsi="Calibri" w:cs="Calibri"/>
            <w:lang w:val="en" w:eastAsia="en-GB"/>
          </w:rPr>
          <w:t>Recio,</w:t>
        </w:r>
        <w:r w:rsidRPr="00FA7B49">
          <w:rPr>
            <w:rFonts w:ascii="Calibri" w:eastAsia="Times New Roman" w:hAnsi="Calibri" w:cs="Calibri"/>
            <w:u w:val="single"/>
            <w:lang w:val="en" w:eastAsia="en-GB"/>
          </w:rPr>
          <w:t xml:space="preserve"> </w:t>
        </w:r>
      </w:hyperlink>
      <w:r w:rsidRPr="00FA7B49">
        <w:rPr>
          <w:rFonts w:ascii="Calibri" w:eastAsia="Times New Roman" w:hAnsi="Calibri" w:cs="Calibri"/>
          <w:kern w:val="36"/>
          <w:lang w:val="en" w:eastAsia="en-GB"/>
        </w:rPr>
        <w:t>Comparison of flow cytometry- and microscopy-based methods for measuring micronucleated reticulocyte frequencies in rodents treated with nongenotoxic and genotoxic chemicals,</w:t>
      </w:r>
      <w:r w:rsidRPr="00FA7B49">
        <w:rPr>
          <w:rFonts w:ascii="Calibri" w:eastAsia="Times New Roman" w:hAnsi="Calibri" w:cs="Calibri"/>
          <w:lang w:val="en" w:eastAsia="en-GB"/>
        </w:rPr>
        <w:t xml:space="preserve"> </w:t>
      </w:r>
      <w:hyperlink r:id="rId22" w:tooltip="Mutation research." w:history="1">
        <w:r w:rsidRPr="00FA7B49">
          <w:rPr>
            <w:rFonts w:ascii="Calibri" w:eastAsia="Times New Roman" w:hAnsi="Calibri" w:cs="Calibri"/>
            <w:lang w:val="en" w:eastAsia="en-GB"/>
          </w:rPr>
          <w:t>Mutat. Res.</w:t>
        </w:r>
      </w:hyperlink>
      <w:r w:rsidRPr="00FA7B49">
        <w:rPr>
          <w:rFonts w:ascii="Calibri" w:eastAsia="Times New Roman" w:hAnsi="Calibri" w:cs="Calibri"/>
          <w:lang w:val="en" w:eastAsia="en-GB"/>
        </w:rPr>
        <w:t xml:space="preserve"> 649 (2008) 101-113.</w:t>
      </w:r>
    </w:p>
    <w:p w14:paraId="50EEA6FF" w14:textId="77777777" w:rsidR="00F35A90" w:rsidRPr="008C6F31" w:rsidRDefault="00F35A90">
      <w:pPr>
        <w:jc w:val="both"/>
      </w:pPr>
    </w:p>
    <w:sectPr w:rsidR="00F35A90" w:rsidRPr="008C6F3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ngsana New">
    <w:panose1 w:val="02020603050405020304"/>
    <w:charset w:val="DE"/>
    <w:family w:val="roman"/>
    <w:notTrueType/>
    <w:pitch w:val="variable"/>
    <w:sig w:usb0="01000001" w:usb1="00000000" w:usb2="00000000" w:usb3="00000000" w:csb0="0001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EE29DF"/>
    <w:multiLevelType w:val="hybridMultilevel"/>
    <w:tmpl w:val="2250DA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C294D30"/>
    <w:multiLevelType w:val="hybridMultilevel"/>
    <w:tmpl w:val="CE2C1B9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54CB3512"/>
    <w:multiLevelType w:val="hybridMultilevel"/>
    <w:tmpl w:val="13D05074"/>
    <w:lvl w:ilvl="0" w:tplc="9A38CD7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3C75BBB"/>
    <w:multiLevelType w:val="hybridMultilevel"/>
    <w:tmpl w:val="6A7446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C3C6DC9"/>
    <w:multiLevelType w:val="hybridMultilevel"/>
    <w:tmpl w:val="0E8A1F10"/>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6F31"/>
    <w:rsid w:val="00014B73"/>
    <w:rsid w:val="00062A4C"/>
    <w:rsid w:val="00111BA1"/>
    <w:rsid w:val="00132C39"/>
    <w:rsid w:val="001619B9"/>
    <w:rsid w:val="001E3631"/>
    <w:rsid w:val="002317BF"/>
    <w:rsid w:val="0024066A"/>
    <w:rsid w:val="0027737A"/>
    <w:rsid w:val="003A1200"/>
    <w:rsid w:val="003D6694"/>
    <w:rsid w:val="003E0D67"/>
    <w:rsid w:val="003F30F8"/>
    <w:rsid w:val="00495F96"/>
    <w:rsid w:val="004B6ADA"/>
    <w:rsid w:val="00564852"/>
    <w:rsid w:val="005966D9"/>
    <w:rsid w:val="005C707D"/>
    <w:rsid w:val="006942E8"/>
    <w:rsid w:val="0069647B"/>
    <w:rsid w:val="006A33DA"/>
    <w:rsid w:val="006C7CD9"/>
    <w:rsid w:val="0072746D"/>
    <w:rsid w:val="00781D08"/>
    <w:rsid w:val="00795D58"/>
    <w:rsid w:val="008C6F31"/>
    <w:rsid w:val="00927551"/>
    <w:rsid w:val="009D61A3"/>
    <w:rsid w:val="00A54CDD"/>
    <w:rsid w:val="00A93DDF"/>
    <w:rsid w:val="00AB1389"/>
    <w:rsid w:val="00B616E4"/>
    <w:rsid w:val="00B67DE8"/>
    <w:rsid w:val="00B96E0A"/>
    <w:rsid w:val="00BF0B30"/>
    <w:rsid w:val="00BF7927"/>
    <w:rsid w:val="00C91DE8"/>
    <w:rsid w:val="00CF1A51"/>
    <w:rsid w:val="00D173B9"/>
    <w:rsid w:val="00D93C3C"/>
    <w:rsid w:val="00DA0E51"/>
    <w:rsid w:val="00DA5616"/>
    <w:rsid w:val="00E504FF"/>
    <w:rsid w:val="00E54F23"/>
    <w:rsid w:val="00F11A5A"/>
    <w:rsid w:val="00F23E75"/>
    <w:rsid w:val="00F3138D"/>
    <w:rsid w:val="00F35A90"/>
    <w:rsid w:val="00F53726"/>
    <w:rsid w:val="00F61467"/>
    <w:rsid w:val="00F914B4"/>
    <w:rsid w:val="00FA6AA5"/>
    <w:rsid w:val="00FA7B4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12984"/>
  <w15:chartTrackingRefBased/>
  <w15:docId w15:val="{99515FC0-4776-41BF-A72C-7EB816D12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FA6AA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6F31"/>
    <w:pPr>
      <w:ind w:left="720"/>
      <w:contextualSpacing/>
    </w:pPr>
  </w:style>
  <w:style w:type="paragraph" w:styleId="BalloonText">
    <w:name w:val="Balloon Text"/>
    <w:basedOn w:val="Normal"/>
    <w:link w:val="BalloonTextChar"/>
    <w:uiPriority w:val="99"/>
    <w:semiHidden/>
    <w:unhideWhenUsed/>
    <w:rsid w:val="003F30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30F8"/>
    <w:rPr>
      <w:rFonts w:ascii="Segoe UI" w:hAnsi="Segoe UI" w:cs="Segoe UI"/>
      <w:sz w:val="18"/>
      <w:szCs w:val="18"/>
    </w:rPr>
  </w:style>
  <w:style w:type="paragraph" w:customStyle="1" w:styleId="Text1">
    <w:name w:val="Text 1"/>
    <w:basedOn w:val="Normal"/>
    <w:link w:val="Text1Char"/>
    <w:qFormat/>
    <w:rsid w:val="003F30F8"/>
    <w:pPr>
      <w:spacing w:after="240" w:line="240" w:lineRule="auto"/>
    </w:pPr>
    <w:rPr>
      <w:rFonts w:ascii="Times New Roman" w:eastAsia="MS Mincho" w:hAnsi="Times New Roman" w:cs="Times New Roman"/>
      <w:sz w:val="24"/>
      <w:szCs w:val="20"/>
      <w:lang w:val="en-US" w:eastAsia="ja-JP"/>
    </w:rPr>
  </w:style>
  <w:style w:type="character" w:customStyle="1" w:styleId="Text1Char">
    <w:name w:val="Text 1 Char"/>
    <w:link w:val="Text1"/>
    <w:rsid w:val="003F30F8"/>
    <w:rPr>
      <w:rFonts w:ascii="Times New Roman" w:eastAsia="MS Mincho" w:hAnsi="Times New Roman" w:cs="Times New Roman"/>
      <w:sz w:val="24"/>
      <w:szCs w:val="20"/>
      <w:lang w:val="en-US" w:eastAsia="ja-JP"/>
    </w:rPr>
  </w:style>
  <w:style w:type="character" w:customStyle="1" w:styleId="Heading2Char">
    <w:name w:val="Heading 2 Char"/>
    <w:basedOn w:val="DefaultParagraphFont"/>
    <w:link w:val="Heading2"/>
    <w:rsid w:val="00FA6AA5"/>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014B73"/>
    <w:rPr>
      <w:color w:val="0563C1" w:themeColor="hyperlink"/>
      <w:u w:val="single"/>
    </w:rPr>
  </w:style>
  <w:style w:type="character" w:customStyle="1" w:styleId="UnresolvedMention1">
    <w:name w:val="Unresolved Mention1"/>
    <w:basedOn w:val="DefaultParagraphFont"/>
    <w:uiPriority w:val="99"/>
    <w:semiHidden/>
    <w:unhideWhenUsed/>
    <w:rsid w:val="00014B73"/>
    <w:rPr>
      <w:color w:val="605E5C"/>
      <w:shd w:val="clear" w:color="auto" w:fill="E1DFDD"/>
    </w:rPr>
  </w:style>
  <w:style w:type="character" w:styleId="CommentReference">
    <w:name w:val="annotation reference"/>
    <w:basedOn w:val="DefaultParagraphFont"/>
    <w:uiPriority w:val="99"/>
    <w:semiHidden/>
    <w:unhideWhenUsed/>
    <w:rsid w:val="0072746D"/>
    <w:rPr>
      <w:sz w:val="16"/>
      <w:szCs w:val="16"/>
    </w:rPr>
  </w:style>
  <w:style w:type="paragraph" w:styleId="CommentText">
    <w:name w:val="annotation text"/>
    <w:basedOn w:val="Normal"/>
    <w:link w:val="CommentTextChar"/>
    <w:uiPriority w:val="99"/>
    <w:semiHidden/>
    <w:unhideWhenUsed/>
    <w:rsid w:val="0072746D"/>
    <w:pPr>
      <w:spacing w:line="240" w:lineRule="auto"/>
    </w:pPr>
    <w:rPr>
      <w:sz w:val="20"/>
      <w:szCs w:val="20"/>
    </w:rPr>
  </w:style>
  <w:style w:type="character" w:customStyle="1" w:styleId="CommentTextChar">
    <w:name w:val="Comment Text Char"/>
    <w:basedOn w:val="DefaultParagraphFont"/>
    <w:link w:val="CommentText"/>
    <w:uiPriority w:val="99"/>
    <w:semiHidden/>
    <w:rsid w:val="0072746D"/>
    <w:rPr>
      <w:sz w:val="20"/>
      <w:szCs w:val="20"/>
    </w:rPr>
  </w:style>
  <w:style w:type="paragraph" w:styleId="CommentSubject">
    <w:name w:val="annotation subject"/>
    <w:basedOn w:val="CommentText"/>
    <w:next w:val="CommentText"/>
    <w:link w:val="CommentSubjectChar"/>
    <w:uiPriority w:val="99"/>
    <w:semiHidden/>
    <w:unhideWhenUsed/>
    <w:rsid w:val="0072746D"/>
    <w:rPr>
      <w:b/>
      <w:bCs/>
    </w:rPr>
  </w:style>
  <w:style w:type="character" w:customStyle="1" w:styleId="CommentSubjectChar">
    <w:name w:val="Comment Subject Char"/>
    <w:basedOn w:val="CommentTextChar"/>
    <w:link w:val="CommentSubject"/>
    <w:uiPriority w:val="99"/>
    <w:semiHidden/>
    <w:rsid w:val="0072746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5895964">
      <w:bodyDiv w:val="1"/>
      <w:marLeft w:val="0"/>
      <w:marRight w:val="0"/>
      <w:marTop w:val="0"/>
      <w:marBottom w:val="0"/>
      <w:divBdr>
        <w:top w:val="none" w:sz="0" w:space="0" w:color="auto"/>
        <w:left w:val="none" w:sz="0" w:space="0" w:color="auto"/>
        <w:bottom w:val="none" w:sz="0" w:space="0" w:color="auto"/>
        <w:right w:val="none" w:sz="0" w:space="0" w:color="auto"/>
      </w:divBdr>
      <w:divsChild>
        <w:div w:id="1619482652">
          <w:marLeft w:val="0"/>
          <w:marRight w:val="1"/>
          <w:marTop w:val="0"/>
          <w:marBottom w:val="0"/>
          <w:divBdr>
            <w:top w:val="none" w:sz="0" w:space="0" w:color="auto"/>
            <w:left w:val="none" w:sz="0" w:space="0" w:color="auto"/>
            <w:bottom w:val="none" w:sz="0" w:space="0" w:color="auto"/>
            <w:right w:val="none" w:sz="0" w:space="0" w:color="auto"/>
          </w:divBdr>
          <w:divsChild>
            <w:div w:id="281613569">
              <w:marLeft w:val="0"/>
              <w:marRight w:val="0"/>
              <w:marTop w:val="0"/>
              <w:marBottom w:val="0"/>
              <w:divBdr>
                <w:top w:val="none" w:sz="0" w:space="0" w:color="auto"/>
                <w:left w:val="none" w:sz="0" w:space="0" w:color="auto"/>
                <w:bottom w:val="none" w:sz="0" w:space="0" w:color="auto"/>
                <w:right w:val="none" w:sz="0" w:space="0" w:color="auto"/>
              </w:divBdr>
              <w:divsChild>
                <w:div w:id="338656368">
                  <w:marLeft w:val="0"/>
                  <w:marRight w:val="1"/>
                  <w:marTop w:val="0"/>
                  <w:marBottom w:val="0"/>
                  <w:divBdr>
                    <w:top w:val="none" w:sz="0" w:space="0" w:color="auto"/>
                    <w:left w:val="none" w:sz="0" w:space="0" w:color="auto"/>
                    <w:bottom w:val="none" w:sz="0" w:space="0" w:color="auto"/>
                    <w:right w:val="none" w:sz="0" w:space="0" w:color="auto"/>
                  </w:divBdr>
                  <w:divsChild>
                    <w:div w:id="658582438">
                      <w:marLeft w:val="0"/>
                      <w:marRight w:val="0"/>
                      <w:marTop w:val="0"/>
                      <w:marBottom w:val="0"/>
                      <w:divBdr>
                        <w:top w:val="none" w:sz="0" w:space="0" w:color="auto"/>
                        <w:left w:val="none" w:sz="0" w:space="0" w:color="auto"/>
                        <w:bottom w:val="none" w:sz="0" w:space="0" w:color="auto"/>
                        <w:right w:val="none" w:sz="0" w:space="0" w:color="auto"/>
                      </w:divBdr>
                      <w:divsChild>
                        <w:div w:id="1033110644">
                          <w:marLeft w:val="0"/>
                          <w:marRight w:val="0"/>
                          <w:marTop w:val="0"/>
                          <w:marBottom w:val="0"/>
                          <w:divBdr>
                            <w:top w:val="none" w:sz="0" w:space="0" w:color="auto"/>
                            <w:left w:val="none" w:sz="0" w:space="0" w:color="auto"/>
                            <w:bottom w:val="none" w:sz="0" w:space="0" w:color="auto"/>
                            <w:right w:val="none" w:sz="0" w:space="0" w:color="auto"/>
                          </w:divBdr>
                          <w:divsChild>
                            <w:div w:id="518739692">
                              <w:marLeft w:val="0"/>
                              <w:marRight w:val="0"/>
                              <w:marTop w:val="0"/>
                              <w:marBottom w:val="0"/>
                              <w:divBdr>
                                <w:top w:val="none" w:sz="0" w:space="0" w:color="auto"/>
                                <w:left w:val="none" w:sz="0" w:space="0" w:color="auto"/>
                                <w:bottom w:val="none" w:sz="0" w:space="0" w:color="auto"/>
                                <w:right w:val="none" w:sz="0" w:space="0" w:color="auto"/>
                              </w:divBdr>
                            </w:div>
                          </w:divsChild>
                        </w:div>
                        <w:div w:id="1504201624">
                          <w:marLeft w:val="0"/>
                          <w:marRight w:val="0"/>
                          <w:marTop w:val="0"/>
                          <w:marBottom w:val="0"/>
                          <w:divBdr>
                            <w:top w:val="none" w:sz="0" w:space="0" w:color="auto"/>
                            <w:left w:val="none" w:sz="0" w:space="0" w:color="auto"/>
                            <w:bottom w:val="none" w:sz="0" w:space="0" w:color="auto"/>
                            <w:right w:val="none" w:sz="0" w:space="0" w:color="auto"/>
                          </w:divBdr>
                          <w:divsChild>
                            <w:div w:id="2076589493">
                              <w:marLeft w:val="0"/>
                              <w:marRight w:val="0"/>
                              <w:marTop w:val="120"/>
                              <w:marBottom w:val="360"/>
                              <w:divBdr>
                                <w:top w:val="none" w:sz="0" w:space="0" w:color="auto"/>
                                <w:left w:val="none" w:sz="0" w:space="0" w:color="auto"/>
                                <w:bottom w:val="none" w:sz="0" w:space="0" w:color="auto"/>
                                <w:right w:val="none" w:sz="0" w:space="0" w:color="auto"/>
                              </w:divBdr>
                              <w:divsChild>
                                <w:div w:id="1669595273">
                                  <w:marLeft w:val="0"/>
                                  <w:marRight w:val="0"/>
                                  <w:marTop w:val="0"/>
                                  <w:marBottom w:val="0"/>
                                  <w:divBdr>
                                    <w:top w:val="none" w:sz="0" w:space="0" w:color="auto"/>
                                    <w:left w:val="none" w:sz="0" w:space="0" w:color="auto"/>
                                    <w:bottom w:val="none" w:sz="0" w:space="0" w:color="auto"/>
                                    <w:right w:val="none" w:sz="0" w:space="0" w:color="auto"/>
                                  </w:divBdr>
                                </w:div>
                                <w:div w:id="40003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8235821">
      <w:bodyDiv w:val="1"/>
      <w:marLeft w:val="0"/>
      <w:marRight w:val="0"/>
      <w:marTop w:val="0"/>
      <w:marBottom w:val="0"/>
      <w:divBdr>
        <w:top w:val="none" w:sz="0" w:space="0" w:color="auto"/>
        <w:left w:val="none" w:sz="0" w:space="0" w:color="auto"/>
        <w:bottom w:val="none" w:sz="0" w:space="0" w:color="auto"/>
        <w:right w:val="none" w:sz="0" w:space="0" w:color="auto"/>
      </w:divBdr>
      <w:divsChild>
        <w:div w:id="1946498064">
          <w:marLeft w:val="0"/>
          <w:marRight w:val="1"/>
          <w:marTop w:val="0"/>
          <w:marBottom w:val="0"/>
          <w:divBdr>
            <w:top w:val="none" w:sz="0" w:space="0" w:color="auto"/>
            <w:left w:val="none" w:sz="0" w:space="0" w:color="auto"/>
            <w:bottom w:val="none" w:sz="0" w:space="0" w:color="auto"/>
            <w:right w:val="none" w:sz="0" w:space="0" w:color="auto"/>
          </w:divBdr>
          <w:divsChild>
            <w:div w:id="331878324">
              <w:marLeft w:val="0"/>
              <w:marRight w:val="0"/>
              <w:marTop w:val="0"/>
              <w:marBottom w:val="0"/>
              <w:divBdr>
                <w:top w:val="none" w:sz="0" w:space="0" w:color="auto"/>
                <w:left w:val="none" w:sz="0" w:space="0" w:color="auto"/>
                <w:bottom w:val="none" w:sz="0" w:space="0" w:color="auto"/>
                <w:right w:val="none" w:sz="0" w:space="0" w:color="auto"/>
              </w:divBdr>
              <w:divsChild>
                <w:div w:id="1343164721">
                  <w:marLeft w:val="0"/>
                  <w:marRight w:val="1"/>
                  <w:marTop w:val="0"/>
                  <w:marBottom w:val="0"/>
                  <w:divBdr>
                    <w:top w:val="none" w:sz="0" w:space="0" w:color="auto"/>
                    <w:left w:val="none" w:sz="0" w:space="0" w:color="auto"/>
                    <w:bottom w:val="none" w:sz="0" w:space="0" w:color="auto"/>
                    <w:right w:val="none" w:sz="0" w:space="0" w:color="auto"/>
                  </w:divBdr>
                  <w:divsChild>
                    <w:div w:id="998000450">
                      <w:marLeft w:val="0"/>
                      <w:marRight w:val="0"/>
                      <w:marTop w:val="0"/>
                      <w:marBottom w:val="0"/>
                      <w:divBdr>
                        <w:top w:val="none" w:sz="0" w:space="0" w:color="auto"/>
                        <w:left w:val="none" w:sz="0" w:space="0" w:color="auto"/>
                        <w:bottom w:val="none" w:sz="0" w:space="0" w:color="auto"/>
                        <w:right w:val="none" w:sz="0" w:space="0" w:color="auto"/>
                      </w:divBdr>
                      <w:divsChild>
                        <w:div w:id="821584874">
                          <w:marLeft w:val="0"/>
                          <w:marRight w:val="0"/>
                          <w:marTop w:val="0"/>
                          <w:marBottom w:val="0"/>
                          <w:divBdr>
                            <w:top w:val="none" w:sz="0" w:space="0" w:color="auto"/>
                            <w:left w:val="none" w:sz="0" w:space="0" w:color="auto"/>
                            <w:bottom w:val="none" w:sz="0" w:space="0" w:color="auto"/>
                            <w:right w:val="none" w:sz="0" w:space="0" w:color="auto"/>
                          </w:divBdr>
                          <w:divsChild>
                            <w:div w:id="1301954529">
                              <w:marLeft w:val="0"/>
                              <w:marRight w:val="0"/>
                              <w:marTop w:val="120"/>
                              <w:marBottom w:val="360"/>
                              <w:divBdr>
                                <w:top w:val="none" w:sz="0" w:space="0" w:color="auto"/>
                                <w:left w:val="none" w:sz="0" w:space="0" w:color="auto"/>
                                <w:bottom w:val="none" w:sz="0" w:space="0" w:color="auto"/>
                                <w:right w:val="none" w:sz="0" w:space="0" w:color="auto"/>
                              </w:divBdr>
                              <w:divsChild>
                                <w:div w:id="1351109326">
                                  <w:marLeft w:val="0"/>
                                  <w:marRight w:val="0"/>
                                  <w:marTop w:val="0"/>
                                  <w:marBottom w:val="0"/>
                                  <w:divBdr>
                                    <w:top w:val="none" w:sz="0" w:space="0" w:color="auto"/>
                                    <w:left w:val="none" w:sz="0" w:space="0" w:color="auto"/>
                                    <w:bottom w:val="none" w:sz="0" w:space="0" w:color="auto"/>
                                    <w:right w:val="none" w:sz="0" w:space="0" w:color="auto"/>
                                  </w:divBdr>
                                </w:div>
                                <w:div w:id="157157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tp.niehs.nih.gov/testing/types/genetic/index.html" TargetMode="External"/><Relationship Id="rId13" Type="http://schemas.openxmlformats.org/officeDocument/2006/relationships/hyperlink" Target="https://www.ncbi.nlm.nih.gov/pubmed/21164195" TargetMode="External"/><Relationship Id="rId18" Type="http://schemas.openxmlformats.org/officeDocument/2006/relationships/hyperlink" Target="https://www.ncbi.nlm.nih.gov/pubmed/?term=Torous%20DK%5BAuthor%5D&amp;cauthor=true&amp;cauthor_uid=17869571" TargetMode="External"/><Relationship Id="rId3" Type="http://schemas.openxmlformats.org/officeDocument/2006/relationships/customXml" Target="../customXml/item3.xml"/><Relationship Id="rId21" Type="http://schemas.openxmlformats.org/officeDocument/2006/relationships/hyperlink" Target="https://www.ncbi.nlm.nih.gov/pubmed/?term=Recio%20L%5BAuthor%5D&amp;cauthor=true&amp;cauthor_uid=17869571" TargetMode="External"/><Relationship Id="rId7" Type="http://schemas.openxmlformats.org/officeDocument/2006/relationships/webSettings" Target="webSettings.xml"/><Relationship Id="rId12" Type="http://schemas.openxmlformats.org/officeDocument/2006/relationships/hyperlink" Target="https://www.ncbi.nlm.nih.gov/pubmed/?term=MacGregor%20JT%5BAuthor%5D&amp;cauthor=true&amp;cauthor_uid=21164195" TargetMode="External"/><Relationship Id="rId17" Type="http://schemas.openxmlformats.org/officeDocument/2006/relationships/hyperlink" Target="https://www.ncbi.nlm.nih.gov/pubmed/?term=Kissling%20GE%5BAuthor%5D&amp;cauthor=true&amp;cauthor_uid=17869571" TargetMode="External"/><Relationship Id="rId2" Type="http://schemas.openxmlformats.org/officeDocument/2006/relationships/customXml" Target="../customXml/item2.xml"/><Relationship Id="rId16" Type="http://schemas.openxmlformats.org/officeDocument/2006/relationships/hyperlink" Target="https://www.ncbi.nlm.nih.gov/pubmed/?term=Livanos%20E%5BAuthor%5D&amp;cauthor=true&amp;cauthor_uid=17869571" TargetMode="External"/><Relationship Id="rId20" Type="http://schemas.openxmlformats.org/officeDocument/2006/relationships/hyperlink" Target="https://www.ncbi.nlm.nih.gov/pubmed/?term=Tice%20RR%5BAuthor%5D&amp;cauthor=true&amp;cauthor_uid=1786957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cbi.nlm.nih.gov/pubmed/?term=Hayashi%20M%5BAuthor%5D&amp;cauthor=true&amp;cauthor_uid=21164195"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ncbi.nlm.nih.gov/pubmed/?term=Witt%20KL%5BAuthor%5D&amp;cauthor=true&amp;cauthor_uid=17869571" TargetMode="External"/><Relationship Id="rId23" Type="http://schemas.openxmlformats.org/officeDocument/2006/relationships/fontTable" Target="fontTable.xml"/><Relationship Id="rId10" Type="http://schemas.openxmlformats.org/officeDocument/2006/relationships/hyperlink" Target="https://www.ncbi.nlm.nih.gov/pubmed/?term=Torous%20DK%5BAuthor%5D&amp;cauthor=true&amp;cauthor_uid=21164195" TargetMode="External"/><Relationship Id="rId19" Type="http://schemas.openxmlformats.org/officeDocument/2006/relationships/hyperlink" Target="https://www.ncbi.nlm.nih.gov/pubmed/?term=Caspary%20W%5BAuthor%5D&amp;cauthor=true&amp;cauthor_uid=17869571" TargetMode="External"/><Relationship Id="rId4" Type="http://schemas.openxmlformats.org/officeDocument/2006/relationships/numbering" Target="numbering.xml"/><Relationship Id="rId9" Type="http://schemas.openxmlformats.org/officeDocument/2006/relationships/hyperlink" Target="https://www.ncbi.nlm.nih.gov/pubmed/?term=Dertinger%20SD%5BAuthor%5D&amp;cauthor=true&amp;cauthor_uid=21164195" TargetMode="External"/><Relationship Id="rId14" Type="http://schemas.openxmlformats.org/officeDocument/2006/relationships/hyperlink" Target="https://manticore.niehs.nih.gov/cebssearch/test_article/15625-89-5" TargetMode="External"/><Relationship Id="rId22" Type="http://schemas.openxmlformats.org/officeDocument/2006/relationships/hyperlink" Target="https://www.ncbi.nlm.nih.gov/pubmed/178695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CDCCA2-2E37-47F5-8E84-101662D94D57}">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http://purl.org/dc/dcmitype/"/>
  </ds:schemaRefs>
</ds:datastoreItem>
</file>

<file path=customXml/itemProps2.xml><?xml version="1.0" encoding="utf-8"?>
<ds:datastoreItem xmlns:ds="http://schemas.openxmlformats.org/officeDocument/2006/customXml" ds:itemID="{8DA46CFA-C1DE-46AE-8970-88634D2D6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B2FE382-7433-4513-915A-72957650D1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761FA450.dotm</Template>
  <TotalTime>0</TotalTime>
  <Pages>5</Pages>
  <Words>2899</Words>
  <Characters>16528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Kirkland</dc:creator>
  <cp:keywords/>
  <dc:description/>
  <cp:lastModifiedBy>MARKKULA Liisa</cp:lastModifiedBy>
  <cp:revision>2</cp:revision>
  <dcterms:created xsi:type="dcterms:W3CDTF">2019-10-15T10:19:00Z</dcterms:created>
  <dcterms:modified xsi:type="dcterms:W3CDTF">2019-10-15T10:19:00Z</dcterms:modified>
</cp:coreProperties>
</file>